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pPr>
    </w:p>
    <w:p>
      <w:pPr>
        <w:widowControl/>
      </w:pPr>
    </w:p>
    <w:p>
      <w:pPr>
        <w:widowControl/>
      </w:pPr>
    </w:p>
    <w:p>
      <w:pPr>
        <w:widowControl/>
      </w:pPr>
    </w:p>
    <w:p>
      <w:pPr>
        <w:widowControl/>
        <w:spacing w:after="320"/>
        <w:jc w:val="center"/>
      </w:pPr>
      <w:r>
        <w:rPr>
          <w:rFonts w:ascii="Calibri" w:hAnsi="Calibri"/>
          <w:b/>
          <w:color w:val="2E74B5"/>
          <w:sz w:val="20"/>
        </w:rPr>
        <w:t>ANCIENTOS ARCHITECTURE</w:t>
      </w:r>
    </w:p>
    <w:p>
      <w:pPr>
        <w:widowControl/>
        <w:spacing w:after="80"/>
        <w:jc w:val="center"/>
      </w:pPr>
      <w:r>
        <w:rPr>
          <w:rFonts w:ascii="Calibri" w:hAnsi="Calibri"/>
          <w:b/>
          <w:color w:val="1F4D78"/>
          <w:sz w:val="60"/>
        </w:rPr>
        <w:t>AncientOS Rote</w:t>
      </w:r>
    </w:p>
    <w:p>
      <w:pPr>
        <w:widowControl/>
        <w:spacing w:after="480"/>
        <w:jc w:val="center"/>
      </w:pPr>
      <w:r>
        <w:rPr>
          <w:rFonts w:ascii="Calibri" w:hAnsi="Calibri"/>
          <w:color w:val="2E74B5"/>
          <w:sz w:val="32"/>
        </w:rPr>
        <w:t>Conceptual Specification, Draft 1</w:t>
      </w:r>
    </w:p>
    <w:p>
      <w:pPr>
        <w:widowControl/>
        <w:spacing w:after="1920"/>
        <w:jc w:val="center"/>
      </w:pPr>
      <w:r>
        <w:rPr>
          <w:rFonts w:ascii="Calibri" w:hAnsi="Calibri"/>
          <w:i/>
          <w:color w:val="5A646E"/>
          <w:sz w:val="22"/>
        </w:rPr>
        <w:t>Universal bounded units of transferable cognition</w:t>
      </w:r>
    </w:p>
    <w:p>
      <w:pPr>
        <w:widowControl/>
        <w:jc w:val="center"/>
      </w:pPr>
      <w:r>
        <w:rPr>
          <w:rFonts w:ascii="Calibri" w:hAnsi="Calibri"/>
          <w:color w:val="5A646E"/>
          <w:sz w:val="20"/>
        </w:rPr>
        <w:t>Product and architecture design draft | September 2026</w:t>
      </w:r>
    </w:p>
    <w:p>
      <w:pPr>
        <w:widowControl/>
      </w:pPr>
      <w:r>
        <w:br w:type="page"/>
      </w:r>
    </w:p>
    <w:p>
      <w:pPr>
        <w:widowControl/>
      </w:pPr>
      <w:r>
        <w:rPr>
          <w:rFonts w:ascii="Calibri" w:hAnsi="Calibri"/>
          <w:b/>
          <w:sz w:val="22"/>
        </w:rPr>
        <w:t>Status:</w:t>
      </w:r>
      <w:r>
        <w:rPr>
          <w:rFonts w:ascii="Calibri" w:hAnsi="Calibri"/>
          <w:sz w:val="22"/>
        </w:rPr>
        <w:t xml:space="preserve"> Product and architecture design draft  </w:t>
      </w:r>
    </w:p>
    <w:p>
      <w:pPr>
        <w:widowControl/>
      </w:pPr>
      <w:r>
        <w:rPr>
          <w:rFonts w:ascii="Calibri" w:hAnsi="Calibri"/>
          <w:b/>
          <w:sz w:val="22"/>
        </w:rPr>
        <w:t>Authority:</w:t>
      </w:r>
      <w:r>
        <w:rPr>
          <w:rFonts w:ascii="Calibri" w:hAnsi="Calibri"/>
          <w:sz w:val="22"/>
        </w:rPr>
        <w:t xml:space="preserve"> Derived from the AncientOS Curated Architecture Packet; new recommendations remain proposals until adopted by the operator  </w:t>
      </w:r>
    </w:p>
    <w:p>
      <w:pPr>
        <w:widowControl/>
      </w:pPr>
      <w:r>
        <w:rPr>
          <w:rFonts w:ascii="Calibri" w:hAnsi="Calibri"/>
          <w:b/>
          <w:sz w:val="22"/>
        </w:rPr>
        <w:t>Scope:</w:t>
      </w:r>
      <w:r>
        <w:rPr>
          <w:rFonts w:ascii="Calibri" w:hAnsi="Calibri"/>
          <w:sz w:val="22"/>
        </w:rPr>
        <w:t xml:space="preserve"> Conceptual semantics only. No repository claims, implementation code, database schema, API, network protocol, or Codex goal.</w:t>
      </w:r>
    </w:p>
    <w:p>
      <w:pPr>
        <w:pStyle w:val="Heading1"/>
        <w:widowControl/>
      </w:pPr>
      <w:r>
        <w:rPr>
          <w:rFonts w:ascii="Calibri" w:hAnsi="Calibri"/>
          <w:sz w:val="22"/>
        </w:rPr>
        <w:t>1. Purpose and design discipline</w:t>
      </w:r>
    </w:p>
    <w:p>
      <w:pPr>
        <w:widowControl/>
      </w:pPr>
      <w:r>
        <w:rPr>
          <w:rFonts w:ascii="Calibri" w:hAnsi="Calibri"/>
          <w:sz w:val="22"/>
        </w:rPr>
        <w:t>This specification develops the Rote from a motivating idea into an architecture-ready conceptual abstraction. It defines what must remain true across future representations while deliberately leaving implementation mechanisms open.</w:t>
      </w:r>
    </w:p>
    <w:p>
      <w:pPr>
        <w:widowControl/>
      </w:pPr>
      <w:r>
        <w:rPr>
          <w:rFonts w:ascii="Calibri" w:hAnsi="Calibri"/>
          <w:sz w:val="22"/>
        </w:rPr>
        <w:t>The labels used throughout are normative about decision status:</w:t>
      </w:r>
    </w:p>
    <w:p>
      <w:pPr>
        <w:pStyle w:val="ListBullet"/>
        <w:widowControl/>
      </w:pPr>
      <w:r>
        <w:rPr>
          <w:rFonts w:ascii="Calibri" w:hAnsi="Calibri"/>
          <w:b/>
          <w:sz w:val="22"/>
        </w:rPr>
        <w:t>SETTLED PRINCIPLE</w:t>
      </w:r>
      <w:r>
        <w:rPr>
          <w:rFonts w:ascii="Calibri" w:hAnsi="Calibri"/>
          <w:sz w:val="22"/>
        </w:rPr>
        <w:t xml:space="preserve"> — directly supported by the architecture packet.</w:t>
      </w:r>
    </w:p>
    <w:p>
      <w:pPr>
        <w:pStyle w:val="ListBullet"/>
        <w:widowControl/>
      </w:pPr>
      <w:r>
        <w:rPr>
          <w:rFonts w:ascii="Calibri" w:hAnsi="Calibri"/>
          <w:b/>
          <w:sz w:val="22"/>
        </w:rPr>
        <w:t>DESIGN DIRECTION</w:t>
      </w:r>
      <w:r>
        <w:rPr>
          <w:rFonts w:ascii="Calibri" w:hAnsi="Calibri"/>
          <w:sz w:val="22"/>
        </w:rPr>
        <w:t xml:space="preserve"> — strongly implied by the packet but not fully defined.</w:t>
      </w:r>
    </w:p>
    <w:p>
      <w:pPr>
        <w:pStyle w:val="ListBullet"/>
        <w:widowControl/>
      </w:pPr>
      <w:r>
        <w:rPr>
          <w:rFonts w:ascii="Calibri" w:hAnsi="Calibri"/>
          <w:b/>
          <w:sz w:val="22"/>
        </w:rPr>
        <w:t>PROPOSAL</w:t>
      </w:r>
      <w:r>
        <w:rPr>
          <w:rFonts w:ascii="Calibri" w:hAnsi="Calibri"/>
          <w:sz w:val="22"/>
        </w:rPr>
        <w:t xml:space="preserve"> — a new concept recommended by this draft.</w:t>
      </w:r>
    </w:p>
    <w:p>
      <w:pPr>
        <w:pStyle w:val="ListBullet"/>
        <w:widowControl/>
      </w:pPr>
      <w:r>
        <w:rPr>
          <w:rFonts w:ascii="Calibri" w:hAnsi="Calibri"/>
          <w:b/>
          <w:sz w:val="22"/>
        </w:rPr>
        <w:t>UNRESOLVED DECISION</w:t>
      </w:r>
      <w:r>
        <w:rPr>
          <w:rFonts w:ascii="Calibri" w:hAnsi="Calibri"/>
          <w:sz w:val="22"/>
        </w:rPr>
        <w:t xml:space="preserve"> — requires an explicit operator/design decision.</w:t>
      </w:r>
    </w:p>
    <w:p>
      <w:pPr>
        <w:pStyle w:val="ListBullet"/>
        <w:widowControl/>
      </w:pPr>
      <w:r>
        <w:rPr>
          <w:rFonts w:ascii="Calibri" w:hAnsi="Calibri"/>
          <w:b/>
          <w:sz w:val="22"/>
        </w:rPr>
        <w:t>IMPLEMENTATION QUESTION</w:t>
      </w:r>
      <w:r>
        <w:rPr>
          <w:rFonts w:ascii="Calibri" w:hAnsi="Calibri"/>
          <w:sz w:val="22"/>
        </w:rPr>
        <w:t xml:space="preserve"> — must eventually be investigated against repository or runtime truth, but is deliberately unanswered here.</w:t>
      </w:r>
    </w:p>
    <w:p>
      <w:pPr>
        <w:widowControl/>
      </w:pPr>
      <w:r>
        <w:rPr>
          <w:rFonts w:ascii="Calibri" w:hAnsi="Calibri"/>
          <w:sz w:val="22"/>
        </w:rPr>
        <w:t>Nothing described here should be inferred to exist in the current AncientOS implementation. The packet defines product and architecture intent; repository and runtime evidence define implementation truth.</w:t>
      </w:r>
    </w:p>
    <w:p>
      <w:pPr>
        <w:pStyle w:val="Heading1"/>
        <w:widowControl/>
      </w:pPr>
      <w:r>
        <w:rPr>
          <w:rFonts w:ascii="Calibri" w:hAnsi="Calibri"/>
          <w:sz w:val="22"/>
        </w:rPr>
        <w:t>2. Formal definition</w:t>
      </w:r>
    </w:p>
    <w:p>
      <w:pPr>
        <w:pStyle w:val="Heading2"/>
        <w:widowControl/>
      </w:pPr>
      <w:r>
        <w:rPr>
          <w:rFonts w:ascii="Calibri" w:hAnsi="Calibri"/>
          <w:sz w:val="22"/>
        </w:rPr>
        <w:t>2.1 Concise definition</w:t>
      </w:r>
    </w:p>
    <w:p>
      <w:pPr>
        <w:widowControl/>
      </w:pPr>
      <w:r>
        <w:rPr>
          <w:rFonts w:ascii="Calibri" w:hAnsi="Calibri"/>
          <w:b/>
          <w:sz w:val="22"/>
        </w:rPr>
        <w:t>SETTLED PRINCIPLE —</w:t>
      </w:r>
      <w:r>
        <w:rPr>
          <w:rFonts w:ascii="Calibri" w:hAnsi="Calibri"/>
          <w:sz w:val="22"/>
        </w:rPr>
        <w:t xml:space="preserve"> A Rote is AncientOS's universal bounded unit of transferable cognition. It sits above documents, memories, prompts, skills, plugins, packages, and application bundles, though it may represent any of them.</w:t>
      </w:r>
    </w:p>
    <w:p>
      <w:pPr>
        <w:widowControl/>
      </w:pPr>
      <w:r>
        <w:rPr>
          <w:rFonts w:ascii="Calibri" w:hAnsi="Calibri"/>
          <w:b/>
          <w:sz w:val="22"/>
        </w:rPr>
        <w:t>PROPOSAL — Formal definition:</w:t>
      </w:r>
    </w:p>
    <w:p>
      <w:pPr>
        <w:widowControl/>
        <w:spacing w:before="100" w:after="180"/>
        <w:ind w:left="504" w:right="360"/>
      </w:pPr>
      <w:r>
        <w:rPr>
          <w:rFonts w:ascii="Calibri" w:hAnsi="Calibri"/>
          <w:i/>
          <w:color w:val="1F4D78"/>
          <w:sz w:val="22"/>
        </w:rPr>
        <w:t>A Rote is an addressable, bounded cognitive assertion or construction whose intended meaning, scope, epistemic status, provenance, applicability, relationships, and possible integration effects are described sufficiently for a compatible receiving system to preserve it as a distinct object of cognition and evaluate what, if anything, to do with it.</w:t>
      </w:r>
    </w:p>
    <w:p>
      <w:pPr>
        <w:widowControl/>
      </w:pPr>
      <w:r>
        <w:rPr>
          <w:rFonts w:ascii="Calibri" w:hAnsi="Calibri"/>
          <w:sz w:val="22"/>
        </w:rPr>
        <w:t>This definition makes five deliberate commitments:</w:t>
      </w:r>
    </w:p>
    <w:p>
      <w:pPr>
        <w:pStyle w:val="ListNumber"/>
        <w:widowControl/>
        <w:numPr>
          <w:ilvl w:val="0"/>
          <w:numId w:val="10"/>
        </w:numPr>
      </w:pPr>
      <w:r>
        <w:rPr>
          <w:rFonts w:ascii="Calibri" w:hAnsi="Calibri"/>
          <w:sz w:val="22"/>
        </w:rPr>
        <w:t>A Rote represents cognition, not merely bytes or content.</w:t>
      </w:r>
    </w:p>
    <w:p>
      <w:pPr>
        <w:pStyle w:val="ListNumber"/>
        <w:widowControl/>
        <w:numPr>
          <w:ilvl w:val="0"/>
          <w:numId w:val="10"/>
        </w:numPr>
      </w:pPr>
      <w:r>
        <w:rPr>
          <w:rFonts w:ascii="Calibri" w:hAnsi="Calibri"/>
          <w:sz w:val="22"/>
        </w:rPr>
        <w:t>Its boundary is semantic: it says what cognition is being transferred and what is outside the claim.</w:t>
      </w:r>
    </w:p>
    <w:p>
      <w:pPr>
        <w:pStyle w:val="ListNumber"/>
        <w:widowControl/>
        <w:numPr>
          <w:ilvl w:val="0"/>
          <w:numId w:val="10"/>
        </w:numPr>
      </w:pPr>
      <w:r>
        <w:rPr>
          <w:rFonts w:ascii="Calibri" w:hAnsi="Calibri"/>
          <w:sz w:val="22"/>
        </w:rPr>
        <w:t>Transferability requires inspectability, not guaranteed comprehension or acceptance.</w:t>
      </w:r>
    </w:p>
    <w:p>
      <w:pPr>
        <w:pStyle w:val="ListNumber"/>
        <w:widowControl/>
        <w:numPr>
          <w:ilvl w:val="0"/>
          <w:numId w:val="10"/>
        </w:numPr>
      </w:pPr>
      <w:r>
        <w:rPr>
          <w:rFonts w:ascii="Calibri" w:hAnsi="Calibri"/>
          <w:sz w:val="22"/>
        </w:rPr>
        <w:t>A receiver may possess the Rote without accepting its claims or enabling its effects.</w:t>
      </w:r>
    </w:p>
    <w:p>
      <w:pPr>
        <w:pStyle w:val="ListNumber"/>
        <w:widowControl/>
        <w:numPr>
          <w:ilvl w:val="0"/>
          <w:numId w:val="10"/>
        </w:numPr>
      </w:pPr>
      <w:r>
        <w:rPr>
          <w:rFonts w:ascii="Calibri" w:hAnsi="Calibri"/>
          <w:sz w:val="22"/>
        </w:rPr>
        <w:t>Integration is effect-specific; there is no universal “install” operation.</w:t>
      </w:r>
    </w:p>
    <w:p>
      <w:pPr>
        <w:pStyle w:val="Heading2"/>
        <w:widowControl/>
      </w:pPr>
      <w:r>
        <w:rPr>
          <w:rFonts w:ascii="Calibri" w:hAnsi="Calibri"/>
          <w:sz w:val="22"/>
        </w:rPr>
        <w:t>2.2 What “cognition” means here</w:t>
      </w:r>
    </w:p>
    <w:p>
      <w:r>
        <w:rPr>
          <w:rFonts w:ascii="Calibri" w:hAnsi="Calibri"/>
          <w:b/>
          <w:sz w:val="22"/>
        </w:rPr>
        <w:t>PROPOSAL —</w:t>
      </w:r>
      <w:r>
        <w:rPr>
          <w:rFonts w:ascii="Calibri" w:hAnsi="Calibri"/>
          <w:sz w:val="22"/>
        </w:rPr>
        <w:t xml:space="preserve"> Cognition is representational content that can participate in an AncientOS instance's knowing, reasoning, interpreting, deciding, learning, or acting. It may be declarative (a claim), relational (a model), experiential (an episode and lesson), procedural (a method), normative (a rule or preference), or enabling (a capability construction). It need not be natural language or reducible to current LLM representations.</w:t>
      </w:r>
    </w:p>
    <w:p>
      <w:pPr>
        <w:widowControl/>
      </w:pPr>
      <w:r>
        <w:rPr>
          <w:rFonts w:ascii="Calibri" w:hAnsi="Calibri"/>
          <w:sz w:val="22"/>
        </w:rPr>
        <w:t>This is intentionally broad, but not unlimited. Arbitrary data is not automatically a Rote. A sensor dump, binary file, or document becomes part of a Rote only when bounded as cognition: what it purports to represent, how it should be interpreted, and how it may affect the receiver must be expressible enough for inspection.</w:t>
      </w:r>
    </w:p>
    <w:p>
      <w:pPr>
        <w:pStyle w:val="Heading2"/>
        <w:widowControl/>
      </w:pPr>
      <w:r>
        <w:rPr>
          <w:rFonts w:ascii="Calibri" w:hAnsi="Calibri"/>
          <w:sz w:val="22"/>
        </w:rPr>
        <w:t>2.3 The Rote is not its carrier</w:t>
      </w:r>
    </w:p>
    <w:p>
      <w:pPr>
        <w:widowControl/>
      </w:pPr>
      <w:r>
        <w:rPr>
          <w:rFonts w:ascii="Calibri" w:hAnsi="Calibri"/>
          <w:b/>
          <w:sz w:val="22"/>
        </w:rPr>
        <w:t>SETTLED PRINCIPLE —</w:t>
      </w:r>
      <w:r>
        <w:rPr>
          <w:rFonts w:ascii="Calibri" w:hAnsi="Calibri"/>
          <w:sz w:val="22"/>
        </w:rPr>
        <w:t xml:space="preserve"> Payload format does not define a Rote.</w:t>
      </w:r>
    </w:p>
    <w:p>
      <w:pPr>
        <w:widowControl/>
      </w:pPr>
      <w:r>
        <w:rPr>
          <w:rFonts w:ascii="Calibri" w:hAnsi="Calibri"/>
          <w:b/>
          <w:sz w:val="22"/>
        </w:rPr>
        <w:t>PROPOSAL —</w:t>
      </w:r>
      <w:r>
        <w:rPr>
          <w:rFonts w:ascii="Calibri" w:hAnsi="Calibri"/>
          <w:sz w:val="22"/>
        </w:rPr>
        <w:t xml:space="preserve"> Distinguish three layers:</w:t>
      </w:r>
    </w:p>
    <w:p>
      <w:pPr>
        <w:pStyle w:val="ListBullet"/>
        <w:widowControl/>
      </w:pPr>
      <w:r>
        <w:rPr>
          <w:rFonts w:ascii="Calibri" w:hAnsi="Calibri"/>
          <w:b/>
          <w:sz w:val="22"/>
        </w:rPr>
        <w:t>Cognitive content:</w:t>
      </w:r>
      <w:r>
        <w:rPr>
          <w:rFonts w:ascii="Calibri" w:hAnsi="Calibri"/>
          <w:sz w:val="22"/>
        </w:rPr>
        <w:t xml:space="preserve"> the represented assertion, model, experience, procedure, or capability.</w:t>
      </w:r>
    </w:p>
    <w:p>
      <w:pPr>
        <w:pStyle w:val="ListBullet"/>
        <w:widowControl/>
      </w:pPr>
      <w:r>
        <w:rPr>
          <w:rFonts w:ascii="Calibri" w:hAnsi="Calibri"/>
          <w:b/>
          <w:sz w:val="22"/>
        </w:rPr>
        <w:t>Rote envelope:</w:t>
      </w:r>
      <w:r>
        <w:rPr>
          <w:rFonts w:ascii="Calibri" w:hAnsi="Calibri"/>
          <w:sz w:val="22"/>
        </w:rPr>
        <w:t xml:space="preserve"> the semantic boundary and evaluative information that make the cognition transferable.</w:t>
      </w:r>
    </w:p>
    <w:p>
      <w:pPr>
        <w:pStyle w:val="ListBullet"/>
        <w:widowControl/>
      </w:pPr>
      <w:r>
        <w:rPr>
          <w:rFonts w:ascii="Calibri" w:hAnsi="Calibri"/>
          <w:b/>
          <w:sz w:val="22"/>
        </w:rPr>
        <w:t>Carrier:</w:t>
      </w:r>
      <w:r>
        <w:rPr>
          <w:rFonts w:ascii="Calibri" w:hAnsi="Calibri"/>
          <w:sz w:val="22"/>
        </w:rPr>
        <w:t xml:space="preserve"> the concrete future serialization, files, objects, messages, packages, or other medium used to convey it.</w:t>
      </w:r>
    </w:p>
    <w:p>
      <w:pPr>
        <w:widowControl/>
      </w:pPr>
      <w:r>
        <w:rPr>
          <w:rFonts w:ascii="Calibri" w:hAnsi="Calibri"/>
          <w:sz w:val="22"/>
        </w:rPr>
        <w:t>A carrier may contain one Rote, several Rotes, or fragments needed by a Rote. Changing the carrier without changing the cognition does not necessarily create a new Rote. Changing the intended cognitive claim may do so even if most bytes remain unchanged.</w:t>
      </w:r>
    </w:p>
    <w:p>
      <w:pPr>
        <w:pStyle w:val="Heading1"/>
        <w:widowControl/>
      </w:pPr>
      <w:r>
        <w:rPr>
          <w:rFonts w:ascii="Calibri" w:hAnsi="Calibri"/>
          <w:sz w:val="22"/>
        </w:rPr>
        <w:t>3. Minimum universal properties</w:t>
      </w:r>
    </w:p>
    <w:p>
      <w:pPr>
        <w:widowControl/>
      </w:pPr>
      <w:r>
        <w:rPr>
          <w:rFonts w:ascii="Calibri" w:hAnsi="Calibri"/>
          <w:b/>
          <w:sz w:val="22"/>
        </w:rPr>
        <w:t>PROPOSAL —</w:t>
      </w:r>
      <w:r>
        <w:rPr>
          <w:rFonts w:ascii="Calibri" w:hAnsi="Calibri"/>
          <w:sz w:val="22"/>
        </w:rPr>
        <w:t xml:space="preserve"> Something should be called a Rote only if all of the following can be represented. “Known unknown” is acceptable for some fields; silent absence is not always acceptable.</w:t>
      </w:r>
    </w:p>
    <w:p>
      <w:pPr>
        <w:pStyle w:val="ListNumber"/>
        <w:widowControl/>
        <w:numPr>
          <w:ilvl w:val="0"/>
          <w:numId w:val="11"/>
        </w:numPr>
      </w:pPr>
      <w:r>
        <w:rPr>
          <w:rFonts w:ascii="Calibri" w:hAnsi="Calibri"/>
          <w:b/>
          <w:sz w:val="22"/>
        </w:rPr>
        <w:t>Boundary.</w:t>
      </w:r>
      <w:r>
        <w:rPr>
          <w:rFonts w:ascii="Calibri" w:hAnsi="Calibri"/>
          <w:sz w:val="22"/>
        </w:rPr>
        <w:t xml:space="preserve"> What cognition is included, at what granularity, and what material is merely support, context, or dependency.</w:t>
      </w:r>
    </w:p>
    <w:p>
      <w:pPr>
        <w:pStyle w:val="ListNumber"/>
        <w:widowControl/>
        <w:numPr>
          <w:ilvl w:val="0"/>
          <w:numId w:val="11"/>
        </w:numPr>
      </w:pPr>
      <w:r>
        <w:rPr>
          <w:rFonts w:ascii="Calibri" w:hAnsi="Calibri"/>
          <w:b/>
          <w:sz w:val="22"/>
        </w:rPr>
        <w:t>Cognitive kind.</w:t>
      </w:r>
      <w:r>
        <w:rPr>
          <w:rFonts w:ascii="Calibri" w:hAnsi="Calibri"/>
          <w:sz w:val="22"/>
        </w:rPr>
        <w:t xml:space="preserve"> What the Rote purports to be—for example observation, proposition, model, experience, procedure, heuristic, normative rule, capability, or composition. Kinds may be extensible and plural.</w:t>
      </w:r>
    </w:p>
    <w:p>
      <w:pPr>
        <w:pStyle w:val="ListNumber"/>
        <w:widowControl/>
        <w:numPr>
          <w:ilvl w:val="0"/>
          <w:numId w:val="11"/>
        </w:numPr>
      </w:pPr>
      <w:r>
        <w:rPr>
          <w:rFonts w:ascii="Calibri" w:hAnsi="Calibri"/>
          <w:b/>
          <w:sz w:val="22"/>
        </w:rPr>
        <w:t>Intended meaning.</w:t>
      </w:r>
      <w:r>
        <w:rPr>
          <w:rFonts w:ascii="Calibri" w:hAnsi="Calibri"/>
          <w:sz w:val="22"/>
        </w:rPr>
        <w:t xml:space="preserve"> A machine-inspectable account of the claim or construction, including enough semantics to avoid treating opaque content as understood.</w:t>
      </w:r>
    </w:p>
    <w:p>
      <w:pPr>
        <w:pStyle w:val="ListNumber"/>
        <w:widowControl/>
        <w:numPr>
          <w:ilvl w:val="0"/>
          <w:numId w:val="11"/>
        </w:numPr>
      </w:pPr>
      <w:r>
        <w:rPr>
          <w:rFonts w:ascii="Calibri" w:hAnsi="Calibri"/>
          <w:b/>
          <w:sz w:val="22"/>
        </w:rPr>
        <w:t>Epistemic posture.</w:t>
      </w:r>
      <w:r>
        <w:rPr>
          <w:rFonts w:ascii="Calibri" w:hAnsi="Calibri"/>
          <w:sz w:val="22"/>
        </w:rPr>
        <w:t xml:space="preserve"> Whether content is observed, asserted, inferred, hypothesized, summarized, prescribed, simulated, or constructed; plus uncertainty where meaningful.</w:t>
      </w:r>
    </w:p>
    <w:p>
      <w:pPr>
        <w:pStyle w:val="ListNumber"/>
        <w:widowControl/>
        <w:numPr>
          <w:ilvl w:val="0"/>
          <w:numId w:val="11"/>
        </w:numPr>
      </w:pPr>
      <w:r>
        <w:rPr>
          <w:rFonts w:ascii="Calibri" w:hAnsi="Calibri"/>
          <w:b/>
          <w:sz w:val="22"/>
        </w:rPr>
        <w:t>Provenance posture.</w:t>
      </w:r>
      <w:r>
        <w:rPr>
          <w:rFonts w:ascii="Calibri" w:hAnsi="Calibri"/>
          <w:sz w:val="22"/>
        </w:rPr>
        <w:t xml:space="preserve"> What is known, claimed, uncertain, or unknown about origin, evidence, transformations, and custody.</w:t>
      </w:r>
    </w:p>
    <w:p>
      <w:pPr>
        <w:pStyle w:val="ListNumber"/>
        <w:widowControl/>
        <w:numPr>
          <w:ilvl w:val="0"/>
          <w:numId w:val="11"/>
        </w:numPr>
      </w:pPr>
      <w:r>
        <w:rPr>
          <w:rFonts w:ascii="Calibri" w:hAnsi="Calibri"/>
          <w:b/>
          <w:sz w:val="22"/>
        </w:rPr>
        <w:t>Applicability envelope.</w:t>
      </w:r>
      <w:r>
        <w:rPr>
          <w:rFonts w:ascii="Calibri" w:hAnsi="Calibri"/>
          <w:sz w:val="22"/>
        </w:rPr>
        <w:t xml:space="preserve"> Conditions under which the cognition claims relevance or validity, including known exclusions and unresolved context requirements.</w:t>
      </w:r>
    </w:p>
    <w:p>
      <w:pPr>
        <w:pStyle w:val="ListNumber"/>
        <w:widowControl/>
        <w:numPr>
          <w:ilvl w:val="0"/>
          <w:numId w:val="11"/>
        </w:numPr>
      </w:pPr>
      <w:r>
        <w:rPr>
          <w:rFonts w:ascii="Calibri" w:hAnsi="Calibri"/>
          <w:b/>
          <w:sz w:val="22"/>
        </w:rPr>
        <w:t>Relationships.</w:t>
      </w:r>
      <w:r>
        <w:rPr>
          <w:rFonts w:ascii="Calibri" w:hAnsi="Calibri"/>
          <w:sz w:val="22"/>
        </w:rPr>
        <w:t xml:space="preserve"> Dependencies, evidence, derivations, contradictions, equivalences, supersessions, compositions, and other cognitively meaningful links where applicable.</w:t>
      </w:r>
    </w:p>
    <w:p>
      <w:pPr>
        <w:pStyle w:val="ListNumber"/>
        <w:widowControl/>
        <w:numPr>
          <w:ilvl w:val="0"/>
          <w:numId w:val="11"/>
        </w:numPr>
      </w:pPr>
      <w:r>
        <w:rPr>
          <w:rFonts w:ascii="Calibri" w:hAnsi="Calibri"/>
          <w:b/>
          <w:sz w:val="22"/>
        </w:rPr>
        <w:t>Integration possibilities.</w:t>
      </w:r>
      <w:r>
        <w:rPr>
          <w:rFonts w:ascii="Calibri" w:hAnsi="Calibri"/>
          <w:sz w:val="22"/>
        </w:rPr>
        <w:t xml:space="preserve"> The classes of local effect the sender believes are possible, including no-effect possession; these are proposals to the receiver, not authority.</w:t>
      </w:r>
    </w:p>
    <w:p>
      <w:pPr>
        <w:pStyle w:val="ListNumber"/>
        <w:widowControl/>
        <w:numPr>
          <w:ilvl w:val="0"/>
          <w:numId w:val="11"/>
        </w:numPr>
      </w:pPr>
      <w:r>
        <w:rPr>
          <w:rFonts w:ascii="Calibri" w:hAnsi="Calibri"/>
          <w:b/>
          <w:sz w:val="22"/>
        </w:rPr>
        <w:t>Integrity boundary.</w:t>
      </w:r>
      <w:r>
        <w:rPr>
          <w:rFonts w:ascii="Calibri" w:hAnsi="Calibri"/>
          <w:sz w:val="22"/>
        </w:rPr>
        <w:t xml:space="preserve"> A way, in a future representation, to determine what exact representation was received and what portions or references are missing. This does not require centralized issuance.</w:t>
      </w:r>
    </w:p>
    <w:p>
      <w:pPr>
        <w:pStyle w:val="ListNumber"/>
        <w:widowControl/>
        <w:numPr>
          <w:ilvl w:val="0"/>
          <w:numId w:val="11"/>
        </w:numPr>
      </w:pPr>
      <w:r>
        <w:rPr>
          <w:rFonts w:ascii="Calibri" w:hAnsi="Calibri"/>
          <w:b/>
          <w:sz w:val="22"/>
        </w:rPr>
        <w:t>Authorship of claims.</w:t>
      </w:r>
      <w:r>
        <w:rPr>
          <w:rFonts w:ascii="Calibri" w:hAnsi="Calibri"/>
          <w:sz w:val="22"/>
        </w:rPr>
        <w:t xml:space="preserve"> A distinction between what the source asserts, what a transformer added, and what the receiver later concludes.</w:t>
      </w:r>
    </w:p>
    <w:p>
      <w:pPr>
        <w:widowControl/>
      </w:pPr>
      <w:r>
        <w:rPr>
          <w:rFonts w:ascii="Calibri" w:hAnsi="Calibri"/>
          <w:sz w:val="22"/>
        </w:rPr>
        <w:t>Portability does not require full material self-containment. A Rote may reference evidence or dependencies that are unavailable. It must, however, expose that incompleteness. This yields a crucial distinction:</w:t>
      </w:r>
    </w:p>
    <w:p>
      <w:pPr>
        <w:pStyle w:val="ListBullet"/>
        <w:widowControl/>
      </w:pPr>
      <w:r>
        <w:rPr>
          <w:rFonts w:ascii="Calibri" w:hAnsi="Calibri"/>
          <w:b/>
          <w:sz w:val="22"/>
        </w:rPr>
        <w:t>Semantic closure:</w:t>
      </w:r>
      <w:r>
        <w:rPr>
          <w:rFonts w:ascii="Calibri" w:hAnsi="Calibri"/>
          <w:sz w:val="22"/>
        </w:rPr>
        <w:t xml:space="preserve"> the cognitive claim and its boundary are intelligible enough to inspect.</w:t>
      </w:r>
    </w:p>
    <w:p>
      <w:pPr>
        <w:pStyle w:val="ListBullet"/>
        <w:widowControl/>
      </w:pPr>
      <w:r>
        <w:rPr>
          <w:rFonts w:ascii="Calibri" w:hAnsi="Calibri"/>
          <w:b/>
          <w:sz w:val="22"/>
        </w:rPr>
        <w:t>Material closure:</w:t>
      </w:r>
      <w:r>
        <w:rPr>
          <w:rFonts w:ascii="Calibri" w:hAnsi="Calibri"/>
          <w:sz w:val="22"/>
        </w:rPr>
        <w:t xml:space="preserve"> every referenced item and dependency is present.</w:t>
      </w:r>
    </w:p>
    <w:p>
      <w:pPr>
        <w:widowControl/>
      </w:pPr>
      <w:r>
        <w:rPr>
          <w:rFonts w:ascii="Calibri" w:hAnsi="Calibri"/>
          <w:sz w:val="22"/>
        </w:rPr>
        <w:t>A Rote may have semantic closure without material closure. A capability Rote missing a dependency can be understood and retained but not enabled.</w:t>
      </w:r>
    </w:p>
    <w:p>
      <w:pPr>
        <w:pStyle w:val="Heading1"/>
        <w:widowControl/>
      </w:pPr>
      <w:r>
        <w:rPr>
          <w:rFonts w:ascii="Calibri" w:hAnsi="Calibri"/>
          <w:sz w:val="22"/>
        </w:rPr>
        <w:t>4. A layered state model, not one lifecycle</w:t>
      </w:r>
    </w:p>
    <w:p>
      <w:pPr>
        <w:widowControl/>
      </w:pPr>
      <w:r>
        <w:rPr>
          <w:rFonts w:ascii="Calibri" w:hAnsi="Calibri"/>
          <w:b/>
          <w:sz w:val="22"/>
        </w:rPr>
        <w:t>DESIGN DIRECTION —</w:t>
      </w:r>
      <w:r>
        <w:rPr>
          <w:rFonts w:ascii="Calibri" w:hAnsi="Calibri"/>
          <w:sz w:val="22"/>
        </w:rPr>
        <w:t xml:space="preserve"> Possessing, parsing, understanding, trusting, applying, integrating, installing, activating, and authorizing must remain distinct.</w:t>
      </w:r>
    </w:p>
    <w:p>
      <w:pPr>
        <w:widowControl/>
      </w:pPr>
      <w:r>
        <w:rPr>
          <w:rFonts w:ascii="Calibri" w:hAnsi="Calibri"/>
          <w:b/>
          <w:sz w:val="22"/>
        </w:rPr>
        <w:t>PROPOSAL —</w:t>
      </w:r>
      <w:r>
        <w:rPr>
          <w:rFonts w:ascii="Calibri" w:hAnsi="Calibri"/>
          <w:sz w:val="22"/>
        </w:rPr>
        <w:t xml:space="preserve"> Model these as independent, monotonic only where justified, local assessments rather than one linear status field.</w:t>
      </w:r>
    </w:p>
    <w:p>
      <w:pPr>
        <w:pStyle w:val="Heading2"/>
        <w:widowControl/>
      </w:pPr>
      <w:r>
        <w:rPr>
          <w:rFonts w:ascii="Calibri" w:hAnsi="Calibri"/>
          <w:sz w:val="22"/>
        </w:rPr>
        <w:t>4.1 Transfer and comprehension states</w:t>
      </w:r>
    </w:p>
    <w:p>
      <w:pPr>
        <w:pStyle w:val="ListNumber"/>
        <w:widowControl/>
        <w:numPr>
          <w:ilvl w:val="0"/>
          <w:numId w:val="12"/>
        </w:numPr>
      </w:pPr>
      <w:r>
        <w:rPr>
          <w:rFonts w:ascii="Calibri" w:hAnsi="Calibri"/>
          <w:b/>
          <w:sz w:val="22"/>
        </w:rPr>
        <w:t>Advertised:</w:t>
      </w:r>
      <w:r>
        <w:rPr>
          <w:rFonts w:ascii="Calibri" w:hAnsi="Calibri"/>
          <w:sz w:val="22"/>
        </w:rPr>
        <w:t xml:space="preserve"> another instance reveals a privacy-preserving description of possible cognition.</w:t>
      </w:r>
    </w:p>
    <w:p>
      <w:pPr>
        <w:pStyle w:val="ListNumber"/>
        <w:widowControl/>
        <w:numPr>
          <w:ilvl w:val="0"/>
          <w:numId w:val="12"/>
        </w:numPr>
      </w:pPr>
      <w:r>
        <w:rPr>
          <w:rFonts w:ascii="Calibri" w:hAnsi="Calibri"/>
          <w:b/>
          <w:sz w:val="22"/>
        </w:rPr>
        <w:t>Acquired:</w:t>
      </w:r>
      <w:r>
        <w:rPr>
          <w:rFonts w:ascii="Calibri" w:hAnsi="Calibri"/>
          <w:sz w:val="22"/>
        </w:rPr>
        <w:t xml:space="preserve"> the receiver possesses a candidate representation.</w:t>
      </w:r>
    </w:p>
    <w:p>
      <w:pPr>
        <w:pStyle w:val="ListNumber"/>
        <w:widowControl/>
        <w:numPr>
          <w:ilvl w:val="0"/>
          <w:numId w:val="12"/>
        </w:numPr>
      </w:pPr>
      <w:r>
        <w:rPr>
          <w:rFonts w:ascii="Calibri" w:hAnsi="Calibri"/>
          <w:b/>
          <w:sz w:val="22"/>
        </w:rPr>
        <w:t>Integrity-checked:</w:t>
      </w:r>
      <w:r>
        <w:rPr>
          <w:rFonts w:ascii="Calibri" w:hAnsi="Calibri"/>
          <w:sz w:val="22"/>
        </w:rPr>
        <w:t xml:space="preserve"> the received representation is complete enough to match its declared boundary, or its missing parts are known.</w:t>
      </w:r>
    </w:p>
    <w:p>
      <w:pPr>
        <w:pStyle w:val="ListNumber"/>
        <w:widowControl/>
        <w:numPr>
          <w:ilvl w:val="0"/>
          <w:numId w:val="12"/>
        </w:numPr>
      </w:pPr>
      <w:r>
        <w:rPr>
          <w:rFonts w:ascii="Calibri" w:hAnsi="Calibri"/>
          <w:b/>
          <w:sz w:val="22"/>
        </w:rPr>
        <w:t>Parsed:</w:t>
      </w:r>
      <w:r>
        <w:rPr>
          <w:rFonts w:ascii="Calibri" w:hAnsi="Calibri"/>
          <w:sz w:val="22"/>
        </w:rPr>
        <w:t xml:space="preserve"> the receiver can decode its structure.</w:t>
      </w:r>
    </w:p>
    <w:p>
      <w:pPr>
        <w:pStyle w:val="ListNumber"/>
        <w:widowControl/>
        <w:numPr>
          <w:ilvl w:val="0"/>
          <w:numId w:val="12"/>
        </w:numPr>
      </w:pPr>
      <w:r>
        <w:rPr>
          <w:rFonts w:ascii="Calibri" w:hAnsi="Calibri"/>
          <w:b/>
          <w:sz w:val="22"/>
        </w:rPr>
        <w:t>Semantically recognized:</w:t>
      </w:r>
      <w:r>
        <w:rPr>
          <w:rFonts w:ascii="Calibri" w:hAnsi="Calibri"/>
          <w:sz w:val="22"/>
        </w:rPr>
        <w:t xml:space="preserve"> the receiver recognizes the cognitive kinds and declared meanings.</w:t>
      </w:r>
    </w:p>
    <w:p>
      <w:pPr>
        <w:pStyle w:val="ListNumber"/>
        <w:widowControl/>
        <w:numPr>
          <w:ilvl w:val="0"/>
          <w:numId w:val="12"/>
        </w:numPr>
      </w:pPr>
      <w:r>
        <w:rPr>
          <w:rFonts w:ascii="Calibri" w:hAnsi="Calibri"/>
          <w:b/>
          <w:sz w:val="22"/>
        </w:rPr>
        <w:t>Understood to degree D:</w:t>
      </w:r>
      <w:r>
        <w:rPr>
          <w:rFonts w:ascii="Calibri" w:hAnsi="Calibri"/>
          <w:sz w:val="22"/>
        </w:rPr>
        <w:t xml:space="preserve"> the receiver can map some or all of the cognition into its own conceptual system. Understanding is graded and may be partial, lossy, or contested.</w:t>
      </w:r>
    </w:p>
    <w:p>
      <w:pPr>
        <w:pStyle w:val="Heading2"/>
        <w:widowControl/>
      </w:pPr>
      <w:r>
        <w:rPr>
          <w:rFonts w:ascii="Calibri" w:hAnsi="Calibri"/>
          <w:sz w:val="22"/>
        </w:rPr>
        <w:t>4.2 Evaluation states</w:t>
      </w:r>
    </w:p>
    <w:p>
      <w:pPr>
        <w:pStyle w:val="ListNumber"/>
        <w:widowControl/>
        <w:numPr>
          <w:ilvl w:val="0"/>
          <w:numId w:val="13"/>
        </w:numPr>
      </w:pPr>
      <w:r>
        <w:rPr>
          <w:rFonts w:ascii="Calibri" w:hAnsi="Calibri"/>
          <w:b/>
          <w:sz w:val="22"/>
        </w:rPr>
        <w:t>Provenance-assessed:</w:t>
      </w:r>
      <w:r>
        <w:rPr>
          <w:rFonts w:ascii="Calibri" w:hAnsi="Calibri"/>
          <w:sz w:val="22"/>
        </w:rPr>
        <w:t xml:space="preserve"> origin and transformation claims have been evaluated, including uncertainty.</w:t>
      </w:r>
    </w:p>
    <w:p>
      <w:pPr>
        <w:pStyle w:val="ListNumber"/>
        <w:widowControl/>
        <w:numPr>
          <w:ilvl w:val="0"/>
          <w:numId w:val="13"/>
        </w:numPr>
      </w:pPr>
      <w:r>
        <w:rPr>
          <w:rFonts w:ascii="Calibri" w:hAnsi="Calibri"/>
          <w:b/>
          <w:sz w:val="22"/>
        </w:rPr>
        <w:t>Evidence-assessed:</w:t>
      </w:r>
      <w:r>
        <w:rPr>
          <w:rFonts w:ascii="Calibri" w:hAnsi="Calibri"/>
          <w:sz w:val="22"/>
        </w:rPr>
        <w:t xml:space="preserve"> supporting and opposing evidence has been evaluated to the receiver's ability.</w:t>
      </w:r>
    </w:p>
    <w:p>
      <w:pPr>
        <w:pStyle w:val="ListNumber"/>
        <w:widowControl/>
        <w:numPr>
          <w:ilvl w:val="0"/>
          <w:numId w:val="13"/>
        </w:numPr>
      </w:pPr>
      <w:r>
        <w:rPr>
          <w:rFonts w:ascii="Calibri" w:hAnsi="Calibri"/>
          <w:b/>
          <w:sz w:val="22"/>
        </w:rPr>
        <w:t>Trust-assessed:</w:t>
      </w:r>
      <w:r>
        <w:rPr>
          <w:rFonts w:ascii="Calibri" w:hAnsi="Calibri"/>
          <w:sz w:val="22"/>
        </w:rPr>
        <w:t xml:space="preserve"> local trust judgments have been made for specific uses.</w:t>
      </w:r>
    </w:p>
    <w:p>
      <w:pPr>
        <w:pStyle w:val="ListNumber"/>
        <w:widowControl/>
        <w:numPr>
          <w:ilvl w:val="0"/>
          <w:numId w:val="13"/>
        </w:numPr>
      </w:pPr>
      <w:r>
        <w:rPr>
          <w:rFonts w:ascii="Calibri" w:hAnsi="Calibri"/>
          <w:b/>
          <w:sz w:val="22"/>
        </w:rPr>
        <w:t>Applicability-assessed:</w:t>
      </w:r>
      <w:r>
        <w:rPr>
          <w:rFonts w:ascii="Calibri" w:hAnsi="Calibri"/>
          <w:sz w:val="22"/>
        </w:rPr>
        <w:t xml:space="preserve"> relevant contexts and exclusions have been compared to the receiving instance, operator, and environment.</w:t>
      </w:r>
    </w:p>
    <w:p>
      <w:pPr>
        <w:pStyle w:val="ListNumber"/>
        <w:widowControl/>
        <w:numPr>
          <w:ilvl w:val="0"/>
          <w:numId w:val="13"/>
        </w:numPr>
      </w:pPr>
      <w:r>
        <w:rPr>
          <w:rFonts w:ascii="Calibri" w:hAnsi="Calibri"/>
          <w:b/>
          <w:sz w:val="22"/>
        </w:rPr>
        <w:t>Conflict-assessed:</w:t>
      </w:r>
      <w:r>
        <w:rPr>
          <w:rFonts w:ascii="Calibri" w:hAnsi="Calibri"/>
          <w:sz w:val="22"/>
        </w:rPr>
        <w:t xml:space="preserve"> agreements, contradictions, redundancies, and unresolved tensions with local cognition have been identified.</w:t>
      </w:r>
    </w:p>
    <w:p>
      <w:pPr>
        <w:pStyle w:val="Heading2"/>
        <w:widowControl/>
      </w:pPr>
      <w:r>
        <w:rPr>
          <w:rFonts w:ascii="Calibri" w:hAnsi="Calibri"/>
          <w:sz w:val="22"/>
        </w:rPr>
        <w:t>4.3 Effect states</w:t>
      </w:r>
    </w:p>
    <w:p>
      <w:pPr>
        <w:pStyle w:val="ListNumber"/>
        <w:widowControl/>
        <w:numPr>
          <w:ilvl w:val="0"/>
          <w:numId w:val="14"/>
        </w:numPr>
      </w:pPr>
      <w:r>
        <w:rPr>
          <w:rFonts w:ascii="Calibri" w:hAnsi="Calibri"/>
          <w:b/>
          <w:sz w:val="22"/>
        </w:rPr>
        <w:t>Retained:</w:t>
      </w:r>
      <w:r>
        <w:rPr>
          <w:rFonts w:ascii="Calibri" w:hAnsi="Calibri"/>
          <w:sz w:val="22"/>
        </w:rPr>
        <w:t xml:space="preserve"> preserved as a distinct candidate object without accepting it as true.</w:t>
      </w:r>
    </w:p>
    <w:p>
      <w:pPr>
        <w:pStyle w:val="ListNumber"/>
        <w:widowControl/>
        <w:numPr>
          <w:ilvl w:val="0"/>
          <w:numId w:val="14"/>
        </w:numPr>
      </w:pPr>
      <w:r>
        <w:rPr>
          <w:rFonts w:ascii="Calibri" w:hAnsi="Calibri"/>
          <w:b/>
          <w:sz w:val="22"/>
        </w:rPr>
        <w:t>Cognitively integrated:</w:t>
      </w:r>
      <w:r>
        <w:rPr>
          <w:rFonts w:ascii="Calibri" w:hAnsi="Calibri"/>
          <w:sz w:val="22"/>
        </w:rPr>
        <w:t xml:space="preserve"> made available to local reasoning with an explicit posture such as accepted, disputed, quarantined, historical, hypothetical, or unverified.</w:t>
      </w:r>
    </w:p>
    <w:p>
      <w:pPr>
        <w:pStyle w:val="ListNumber"/>
        <w:widowControl/>
        <w:numPr>
          <w:ilvl w:val="0"/>
          <w:numId w:val="14"/>
        </w:numPr>
      </w:pPr>
      <w:r>
        <w:rPr>
          <w:rFonts w:ascii="Calibri" w:hAnsi="Calibri"/>
          <w:b/>
          <w:sz w:val="22"/>
        </w:rPr>
        <w:t>Operationally prepared:</w:t>
      </w:r>
      <w:r>
        <w:rPr>
          <w:rFonts w:ascii="Calibri" w:hAnsi="Calibri"/>
          <w:sz w:val="22"/>
        </w:rPr>
        <w:t xml:space="preserve"> dependencies or local adaptations needed for a procedure or capability have been identified or installed through separately governed actions.</w:t>
      </w:r>
    </w:p>
    <w:p>
      <w:pPr>
        <w:pStyle w:val="ListNumber"/>
        <w:widowControl/>
        <w:numPr>
          <w:ilvl w:val="0"/>
          <w:numId w:val="14"/>
        </w:numPr>
      </w:pPr>
      <w:r>
        <w:rPr>
          <w:rFonts w:ascii="Calibri" w:hAnsi="Calibri"/>
          <w:b/>
          <w:sz w:val="22"/>
        </w:rPr>
        <w:t>Activated:</w:t>
      </w:r>
      <w:r>
        <w:rPr>
          <w:rFonts w:ascii="Calibri" w:hAnsi="Calibri"/>
          <w:sz w:val="22"/>
        </w:rPr>
        <w:t xml:space="preserve"> the cognition or capability is enabled for use in an environment.</w:t>
      </w:r>
    </w:p>
    <w:p>
      <w:pPr>
        <w:pStyle w:val="ListNumber"/>
        <w:widowControl/>
        <w:numPr>
          <w:ilvl w:val="0"/>
          <w:numId w:val="14"/>
        </w:numPr>
      </w:pPr>
      <w:r>
        <w:rPr>
          <w:rFonts w:ascii="Calibri" w:hAnsi="Calibri"/>
          <w:b/>
          <w:sz w:val="22"/>
        </w:rPr>
        <w:t>Authorized:</w:t>
      </w:r>
      <w:r>
        <w:rPr>
          <w:rFonts w:ascii="Calibri" w:hAnsi="Calibri"/>
          <w:sz w:val="22"/>
        </w:rPr>
        <w:t xml:space="preserve"> the capability is permitted to perform particular bounded actions under AncientOS governance.</w:t>
      </w:r>
    </w:p>
    <w:p>
      <w:pPr>
        <w:pStyle w:val="ListNumber"/>
        <w:widowControl/>
        <w:numPr>
          <w:ilvl w:val="0"/>
          <w:numId w:val="14"/>
        </w:numPr>
      </w:pPr>
      <w:r>
        <w:rPr>
          <w:rFonts w:ascii="Calibri" w:hAnsi="Calibri"/>
          <w:b/>
          <w:sz w:val="22"/>
        </w:rPr>
        <w:t>Observed in use:</w:t>
      </w:r>
      <w:r>
        <w:rPr>
          <w:rFonts w:ascii="Calibri" w:hAnsi="Calibri"/>
          <w:sz w:val="22"/>
        </w:rPr>
        <w:t xml:space="preserve"> outcomes and evidence from local use are recorded.</w:t>
      </w:r>
    </w:p>
    <w:p>
      <w:pPr>
        <w:pStyle w:val="ListNumber"/>
        <w:widowControl/>
        <w:numPr>
          <w:ilvl w:val="0"/>
          <w:numId w:val="14"/>
        </w:numPr>
      </w:pPr>
      <w:r>
        <w:rPr>
          <w:rFonts w:ascii="Calibri" w:hAnsi="Calibri"/>
          <w:b/>
          <w:sz w:val="22"/>
        </w:rPr>
        <w:t>Locally adapted or derived:</w:t>
      </w:r>
      <w:r>
        <w:rPr>
          <w:rFonts w:ascii="Calibri" w:hAnsi="Calibri"/>
          <w:sz w:val="22"/>
        </w:rPr>
        <w:t xml:space="preserve"> new cognition is produced, preserving ancestry and local distinctions.</w:t>
      </w:r>
    </w:p>
    <w:p>
      <w:pPr>
        <w:pStyle w:val="ListNumber"/>
        <w:widowControl/>
        <w:numPr>
          <w:ilvl w:val="0"/>
          <w:numId w:val="14"/>
        </w:numPr>
      </w:pPr>
      <w:r>
        <w:rPr>
          <w:rFonts w:ascii="Calibri" w:hAnsi="Calibri"/>
          <w:b/>
          <w:sz w:val="22"/>
        </w:rPr>
        <w:t>Retired, suspended, or reclassified:</w:t>
      </w:r>
      <w:r>
        <w:rPr>
          <w:rFonts w:ascii="Calibri" w:hAnsi="Calibri"/>
          <w:sz w:val="22"/>
        </w:rPr>
        <w:t xml:space="preserve"> local use changes without erasing historical possession or provenance.</w:t>
      </w:r>
    </w:p>
    <w:p>
      <w:pPr>
        <w:widowControl/>
      </w:pPr>
      <w:r>
        <w:rPr>
          <w:rFonts w:ascii="Calibri" w:hAnsi="Calibri"/>
          <w:sz w:val="22"/>
        </w:rPr>
        <w:t>These are not guaranteed to occur in order. A Rote may be retained indefinitely without trust. A factual claim may be integrated without “activation.” A capability may be installed but disabled, activated for inspection but unauthorized for mutation, or authorized only for a bounded action. Trust and applicability can later decrease when context changes or new evidence arrives.</w:t>
      </w:r>
    </w:p>
    <w:p>
      <w:pPr>
        <w:pStyle w:val="Heading1"/>
        <w:widowControl/>
      </w:pPr>
      <w:r>
        <w:rPr>
          <w:rFonts w:ascii="Calibri" w:hAnsi="Calibri"/>
          <w:sz w:val="22"/>
        </w:rPr>
        <w:t>5. Identity and equivalence</w:t>
      </w:r>
    </w:p>
    <w:p>
      <w:pPr>
        <w:pStyle w:val="Heading2"/>
        <w:widowControl/>
      </w:pPr>
      <w:r>
        <w:rPr>
          <w:rFonts w:ascii="Calibri" w:hAnsi="Calibri"/>
          <w:sz w:val="22"/>
        </w:rPr>
        <w:t>5.1 Four identities must not be collapsed</w:t>
      </w:r>
    </w:p>
    <w:p>
      <w:pPr>
        <w:widowControl/>
      </w:pPr>
      <w:r>
        <w:rPr>
          <w:rFonts w:ascii="Calibri" w:hAnsi="Calibri"/>
          <w:b/>
          <w:sz w:val="22"/>
        </w:rPr>
        <w:t>PROPOSAL —</w:t>
      </w:r>
      <w:r>
        <w:rPr>
          <w:rFonts w:ascii="Calibri" w:hAnsi="Calibri"/>
          <w:sz w:val="22"/>
        </w:rPr>
        <w:t xml:space="preserve"> Separate:</w:t>
      </w:r>
    </w:p>
    <w:p>
      <w:pPr>
        <w:pStyle w:val="ListBullet"/>
        <w:widowControl/>
      </w:pPr>
      <w:r>
        <w:rPr>
          <w:rFonts w:ascii="Calibri" w:hAnsi="Calibri"/>
          <w:b/>
          <w:sz w:val="22"/>
        </w:rPr>
        <w:t>Artifact identity:</w:t>
      </w:r>
      <w:r>
        <w:rPr>
          <w:rFonts w:ascii="Calibri" w:hAnsi="Calibri"/>
          <w:sz w:val="22"/>
        </w:rPr>
        <w:t xml:space="preserve"> the exact received representation. Useful for integrity and custody.</w:t>
      </w:r>
    </w:p>
    <w:p>
      <w:pPr>
        <w:pStyle w:val="ListBullet"/>
        <w:widowControl/>
      </w:pPr>
      <w:r>
        <w:rPr>
          <w:rFonts w:ascii="Calibri" w:hAnsi="Calibri"/>
          <w:b/>
          <w:sz w:val="22"/>
        </w:rPr>
        <w:t>Historical identity:</w:t>
      </w:r>
      <w:r>
        <w:rPr>
          <w:rFonts w:ascii="Calibri" w:hAnsi="Calibri"/>
          <w:sz w:val="22"/>
        </w:rPr>
        <w:t xml:space="preserve"> a particular authored cognitive act with its provenance and lineage.</w:t>
      </w:r>
    </w:p>
    <w:p>
      <w:pPr>
        <w:pStyle w:val="ListBullet"/>
        <w:widowControl/>
      </w:pPr>
      <w:r>
        <w:rPr>
          <w:rFonts w:ascii="Calibri" w:hAnsi="Calibri"/>
          <w:b/>
          <w:sz w:val="22"/>
        </w:rPr>
        <w:t>Semantic identity:</w:t>
      </w:r>
      <w:r>
        <w:rPr>
          <w:rFonts w:ascii="Calibri" w:hAnsi="Calibri"/>
          <w:sz w:val="22"/>
        </w:rPr>
        <w:t xml:space="preserve"> the meaning or claim being expressed.</w:t>
      </w:r>
    </w:p>
    <w:p>
      <w:pPr>
        <w:pStyle w:val="ListBullet"/>
        <w:widowControl/>
      </w:pPr>
      <w:r>
        <w:rPr>
          <w:rFonts w:ascii="Calibri" w:hAnsi="Calibri"/>
          <w:b/>
          <w:sz w:val="22"/>
        </w:rPr>
        <w:t>Local record identity:</w:t>
      </w:r>
      <w:r>
        <w:rPr>
          <w:rFonts w:ascii="Calibri" w:hAnsi="Calibri"/>
          <w:sz w:val="22"/>
        </w:rPr>
        <w:t xml:space="preserve"> the receiver's enduring record and assessments of that Rote.</w:t>
      </w:r>
    </w:p>
    <w:p>
      <w:pPr>
        <w:widowControl/>
      </w:pPr>
      <w:r>
        <w:rPr>
          <w:rFonts w:ascii="Calibri" w:hAnsi="Calibri"/>
          <w:sz w:val="22"/>
        </w:rPr>
        <w:t>Two byte-identical artifacts can acquire different custody histories. Two different artifacts may express the same proposition. Two independently authored observations may be semantically equivalent but historically distinct—and their independence may be valuable evidence.</w:t>
      </w:r>
    </w:p>
    <w:p>
      <w:pPr>
        <w:pStyle w:val="Heading2"/>
        <w:widowControl/>
      </w:pPr>
      <w:r>
        <w:rPr>
          <w:rFonts w:ascii="Calibri" w:hAnsi="Calibri"/>
          <w:sz w:val="22"/>
        </w:rPr>
        <w:t>5.2 Equivalence is a relationship, not an identity shortcut</w:t>
      </w:r>
    </w:p>
    <w:p>
      <w:pPr>
        <w:widowControl/>
      </w:pPr>
      <w:r>
        <w:rPr>
          <w:rFonts w:ascii="Calibri" w:hAnsi="Calibri"/>
          <w:b/>
          <w:sz w:val="22"/>
        </w:rPr>
        <w:t>PROPOSAL —</w:t>
      </w:r>
      <w:r>
        <w:rPr>
          <w:rFonts w:ascii="Calibri" w:hAnsi="Calibri"/>
          <w:sz w:val="22"/>
        </w:rPr>
        <w:t xml:space="preserve"> AncientOS should permit graded, scoped equivalence judgments:</w:t>
      </w:r>
    </w:p>
    <w:p>
      <w:pPr>
        <w:pStyle w:val="ListBullet"/>
        <w:widowControl/>
      </w:pPr>
      <w:r>
        <w:rPr>
          <w:rFonts w:ascii="Calibri" w:hAnsi="Calibri"/>
          <w:b/>
          <w:sz w:val="22"/>
        </w:rPr>
        <w:t>Exact representation:</w:t>
      </w:r>
      <w:r>
        <w:rPr>
          <w:rFonts w:ascii="Calibri" w:hAnsi="Calibri"/>
          <w:sz w:val="22"/>
        </w:rPr>
        <w:t xml:space="preserve"> same bounded artifact.</w:t>
      </w:r>
    </w:p>
    <w:p>
      <w:pPr>
        <w:pStyle w:val="ListBullet"/>
        <w:widowControl/>
      </w:pPr>
      <w:r>
        <w:rPr>
          <w:rFonts w:ascii="Calibri" w:hAnsi="Calibri"/>
          <w:b/>
          <w:sz w:val="22"/>
        </w:rPr>
        <w:t>Meaning-preserving rendering:</w:t>
      </w:r>
      <w:r>
        <w:rPr>
          <w:rFonts w:ascii="Calibri" w:hAnsi="Calibri"/>
          <w:sz w:val="22"/>
        </w:rPr>
        <w:t xml:space="preserve"> different carrier, same asserted cognition to a stated fidelity.</w:t>
      </w:r>
    </w:p>
    <w:p>
      <w:pPr>
        <w:pStyle w:val="ListBullet"/>
        <w:widowControl/>
      </w:pPr>
      <w:r>
        <w:rPr>
          <w:rFonts w:ascii="Calibri" w:hAnsi="Calibri"/>
          <w:b/>
          <w:sz w:val="22"/>
        </w:rPr>
        <w:t>Semantic equivalence:</w:t>
      </w:r>
      <w:r>
        <w:rPr>
          <w:rFonts w:ascii="Calibri" w:hAnsi="Calibri"/>
          <w:sz w:val="22"/>
        </w:rPr>
        <w:t xml:space="preserve"> same claim under the same applicability conditions.</w:t>
      </w:r>
    </w:p>
    <w:p>
      <w:pPr>
        <w:pStyle w:val="ListBullet"/>
        <w:widowControl/>
      </w:pPr>
      <w:r>
        <w:rPr>
          <w:rFonts w:ascii="Calibri" w:hAnsi="Calibri"/>
          <w:b/>
          <w:sz w:val="22"/>
        </w:rPr>
        <w:t>Operational equivalence:</w:t>
      </w:r>
      <w:r>
        <w:rPr>
          <w:rFonts w:ascii="Calibri" w:hAnsi="Calibri"/>
          <w:sz w:val="22"/>
        </w:rPr>
        <w:t xml:space="preserve"> different procedures or capabilities produce sufficiently equivalent outcomes under specified conditions.</w:t>
      </w:r>
    </w:p>
    <w:p>
      <w:pPr>
        <w:pStyle w:val="ListBullet"/>
        <w:widowControl/>
      </w:pPr>
      <w:r>
        <w:rPr>
          <w:rFonts w:ascii="Calibri" w:hAnsi="Calibri"/>
          <w:b/>
          <w:sz w:val="22"/>
        </w:rPr>
        <w:t>Substantial overlap:</w:t>
      </w:r>
      <w:r>
        <w:rPr>
          <w:rFonts w:ascii="Calibri" w:hAnsi="Calibri"/>
          <w:sz w:val="22"/>
        </w:rPr>
        <w:t xml:space="preserve"> shared core with meaningful differences.</w:t>
      </w:r>
    </w:p>
    <w:p>
      <w:pPr>
        <w:pStyle w:val="ListBullet"/>
        <w:widowControl/>
      </w:pPr>
      <w:r>
        <w:rPr>
          <w:rFonts w:ascii="Calibri" w:hAnsi="Calibri"/>
          <w:b/>
          <w:sz w:val="22"/>
        </w:rPr>
        <w:t>Compatible refinement:</w:t>
      </w:r>
      <w:r>
        <w:rPr>
          <w:rFonts w:ascii="Calibri" w:hAnsi="Calibri"/>
          <w:sz w:val="22"/>
        </w:rPr>
        <w:t xml:space="preserve"> one adds precision without contradicting the other within shared scope.</w:t>
      </w:r>
    </w:p>
    <w:p>
      <w:pPr>
        <w:pStyle w:val="ListBullet"/>
        <w:widowControl/>
      </w:pPr>
      <w:r>
        <w:rPr>
          <w:rFonts w:ascii="Calibri" w:hAnsi="Calibri"/>
          <w:b/>
          <w:sz w:val="22"/>
        </w:rPr>
        <w:t>Unresolved similarity:</w:t>
      </w:r>
      <w:r>
        <w:rPr>
          <w:rFonts w:ascii="Calibri" w:hAnsi="Calibri"/>
          <w:sz w:val="22"/>
        </w:rPr>
        <w:t xml:space="preserve"> likely related but not safely mergeable.</w:t>
      </w:r>
    </w:p>
    <w:p>
      <w:pPr>
        <w:widowControl/>
      </w:pPr>
      <w:r>
        <w:rPr>
          <w:rFonts w:ascii="Calibri" w:hAnsi="Calibri"/>
          <w:sz w:val="22"/>
        </w:rPr>
        <w:t>Equivalence is itself an assertion with an assessor, method, confidence, scope, and provenance. It may be contested.</w:t>
      </w:r>
    </w:p>
    <w:p>
      <w:pPr>
        <w:pStyle w:val="Heading2"/>
        <w:widowControl/>
      </w:pPr>
      <w:r>
        <w:rPr>
          <w:rFonts w:ascii="Calibri" w:hAnsi="Calibri"/>
          <w:sz w:val="22"/>
        </w:rPr>
        <w:t>5.3 Independent convergence</w:t>
      </w:r>
    </w:p>
    <w:p>
      <w:pPr>
        <w:widowControl/>
      </w:pPr>
      <w:r>
        <w:rPr>
          <w:rFonts w:ascii="Calibri" w:hAnsi="Calibri"/>
          <w:sz w:val="22"/>
        </w:rPr>
        <w:t>Two instances independently deriving “the basement receiver fails after sleep unless rediscovered” should not be forced into one historical Rote. They are separate observations or learned Rotes connected by a semantic-equivalence or corroboration relationship. Preserving independence prevents accidental loss of evidentiary weight and different applicability contexts.</w:t>
      </w:r>
    </w:p>
    <w:p>
      <w:pPr>
        <w:widowControl/>
      </w:pPr>
      <w:r>
        <w:rPr>
          <w:rFonts w:ascii="Calibri" w:hAnsi="Calibri"/>
          <w:b/>
          <w:sz w:val="22"/>
        </w:rPr>
        <w:t>UNRESOLVED DECISION —</w:t>
      </w:r>
      <w:r>
        <w:rPr>
          <w:rFonts w:ascii="Calibri" w:hAnsi="Calibri"/>
          <w:sz w:val="22"/>
        </w:rPr>
        <w:t xml:space="preserve"> Whether AncientOS should recognize a canonical “concept identity” above individual Rotes, and who or what may assert it. A canonical concept can reduce duplication but risks premature ontology lock-in and centralized meaning.</w:t>
      </w:r>
    </w:p>
    <w:p>
      <w:pPr>
        <w:pStyle w:val="Heading1"/>
        <w:widowControl/>
      </w:pPr>
      <w:r>
        <w:rPr>
          <w:rFonts w:ascii="Calibri" w:hAnsi="Calibri"/>
          <w:sz w:val="22"/>
        </w:rPr>
        <w:t>6. Evolution, lineage, and temporal meaning</w:t>
      </w:r>
    </w:p>
    <w:p>
      <w:pPr>
        <w:pStyle w:val="Heading2"/>
        <w:widowControl/>
      </w:pPr>
      <w:r>
        <w:rPr>
          <w:rFonts w:ascii="Calibri" w:hAnsi="Calibri"/>
          <w:sz w:val="22"/>
        </w:rPr>
        <w:t>6.1 Immutable attestations, evolving families</w:t>
      </w:r>
    </w:p>
    <w:p>
      <w:pPr>
        <w:widowControl/>
      </w:pPr>
      <w:r>
        <w:rPr>
          <w:rFonts w:ascii="Calibri" w:hAnsi="Calibri"/>
          <w:b/>
          <w:sz w:val="22"/>
        </w:rPr>
        <w:t>PROPOSAL —</w:t>
      </w:r>
      <w:r>
        <w:rPr>
          <w:rFonts w:ascii="Calibri" w:hAnsi="Calibri"/>
          <w:sz w:val="22"/>
        </w:rPr>
        <w:t xml:space="preserve"> Treat a published Rote as an immutable cognitive attestation: its bounded content and source claims do not change. Corrections, refinements, and adaptations produce new Rotes linked through lineage. Local annotations and assessments may evolve without rewriting the received attestation.</w:t>
      </w:r>
    </w:p>
    <w:p>
      <w:pPr>
        <w:widowControl/>
      </w:pPr>
      <w:r>
        <w:rPr>
          <w:rFonts w:ascii="Calibri" w:hAnsi="Calibri"/>
          <w:sz w:val="22"/>
        </w:rPr>
        <w:t>This gives durable provenance without pretending cognition itself is static. It also prevents a trusted object from changing meaning after evaluation.</w:t>
      </w:r>
    </w:p>
    <w:p>
      <w:pPr>
        <w:pStyle w:val="Heading2"/>
        <w:widowControl/>
      </w:pPr>
      <w:r>
        <w:rPr>
          <w:rFonts w:ascii="Calibri" w:hAnsi="Calibri"/>
          <w:sz w:val="22"/>
        </w:rPr>
        <w:t>6.2 Lineage relations</w:t>
      </w:r>
    </w:p>
    <w:p>
      <w:pPr>
        <w:widowControl/>
      </w:pPr>
      <w:r>
        <w:rPr>
          <w:rFonts w:ascii="Calibri" w:hAnsi="Calibri"/>
          <w:sz w:val="22"/>
        </w:rPr>
        <w:t>Recommended relationships include:</w:t>
      </w:r>
    </w:p>
    <w:p>
      <w:pPr>
        <w:pStyle w:val="ListBullet"/>
        <w:widowControl/>
      </w:pPr>
      <w:r>
        <w:rPr>
          <w:rFonts w:ascii="Calibri" w:hAnsi="Calibri"/>
          <w:b/>
          <w:sz w:val="22"/>
        </w:rPr>
        <w:t>derived from:</w:t>
      </w:r>
      <w:r>
        <w:rPr>
          <w:rFonts w:ascii="Calibri" w:hAnsi="Calibri"/>
          <w:sz w:val="22"/>
        </w:rPr>
        <w:t xml:space="preserve"> transformation whose method should be described;</w:t>
      </w:r>
    </w:p>
    <w:p>
      <w:pPr>
        <w:pStyle w:val="ListBullet"/>
        <w:widowControl/>
      </w:pPr>
      <w:r>
        <w:rPr>
          <w:rFonts w:ascii="Calibri" w:hAnsi="Calibri"/>
          <w:b/>
          <w:sz w:val="22"/>
        </w:rPr>
        <w:t>summarizes:</w:t>
      </w:r>
      <w:r>
        <w:rPr>
          <w:rFonts w:ascii="Calibri" w:hAnsi="Calibri"/>
          <w:sz w:val="22"/>
        </w:rPr>
        <w:t xml:space="preserve"> intentionally lossy compression of source cognition;</w:t>
      </w:r>
    </w:p>
    <w:p>
      <w:pPr>
        <w:pStyle w:val="ListBullet"/>
        <w:widowControl/>
      </w:pPr>
      <w:r>
        <w:rPr>
          <w:rFonts w:ascii="Calibri" w:hAnsi="Calibri"/>
          <w:b/>
          <w:sz w:val="22"/>
        </w:rPr>
        <w:t>refines:</w:t>
      </w:r>
      <w:r>
        <w:rPr>
          <w:rFonts w:ascii="Calibri" w:hAnsi="Calibri"/>
          <w:sz w:val="22"/>
        </w:rPr>
        <w:t xml:space="preserve"> adds precision, qualifications, or evidence;</w:t>
      </w:r>
    </w:p>
    <w:p>
      <w:pPr>
        <w:pStyle w:val="ListBullet"/>
        <w:widowControl/>
      </w:pPr>
      <w:r>
        <w:rPr>
          <w:rFonts w:ascii="Calibri" w:hAnsi="Calibri"/>
          <w:b/>
          <w:sz w:val="22"/>
        </w:rPr>
        <w:t>generalizes / specializes:</w:t>
      </w:r>
      <w:r>
        <w:rPr>
          <w:rFonts w:ascii="Calibri" w:hAnsi="Calibri"/>
          <w:sz w:val="22"/>
        </w:rPr>
        <w:t xml:space="preserve"> changes the applicability envelope;</w:t>
      </w:r>
    </w:p>
    <w:p>
      <w:pPr>
        <w:pStyle w:val="ListBullet"/>
        <w:widowControl/>
      </w:pPr>
      <w:r>
        <w:rPr>
          <w:rFonts w:ascii="Calibri" w:hAnsi="Calibri"/>
          <w:b/>
          <w:sz w:val="22"/>
        </w:rPr>
        <w:t>corrects:</w:t>
      </w:r>
      <w:r>
        <w:rPr>
          <w:rFonts w:ascii="Calibri" w:hAnsi="Calibri"/>
          <w:sz w:val="22"/>
        </w:rPr>
        <w:t xml:space="preserve"> asserts that a predecessor contains an error;</w:t>
      </w:r>
    </w:p>
    <w:p>
      <w:pPr>
        <w:pStyle w:val="ListBullet"/>
        <w:widowControl/>
      </w:pPr>
      <w:r>
        <w:rPr>
          <w:rFonts w:ascii="Calibri" w:hAnsi="Calibri"/>
          <w:b/>
          <w:sz w:val="22"/>
        </w:rPr>
        <w:t>supersedes for context C:</w:t>
      </w:r>
      <w:r>
        <w:rPr>
          <w:rFonts w:ascii="Calibri" w:hAnsi="Calibri"/>
          <w:sz w:val="22"/>
        </w:rPr>
        <w:t xml:space="preserve"> preferred replacement only within a defined context;</w:t>
      </w:r>
    </w:p>
    <w:p>
      <w:pPr>
        <w:pStyle w:val="ListBullet"/>
        <w:widowControl/>
      </w:pPr>
      <w:r>
        <w:rPr>
          <w:rFonts w:ascii="Calibri" w:hAnsi="Calibri"/>
          <w:b/>
          <w:sz w:val="22"/>
        </w:rPr>
        <w:t>forks from:</w:t>
      </w:r>
      <w:r>
        <w:rPr>
          <w:rFonts w:ascii="Calibri" w:hAnsi="Calibri"/>
          <w:sz w:val="22"/>
        </w:rPr>
        <w:t xml:space="preserve"> continues from a common ancestor with a divergent intent or environment;</w:t>
      </w:r>
    </w:p>
    <w:p>
      <w:pPr>
        <w:pStyle w:val="ListBullet"/>
        <w:widowControl/>
      </w:pPr>
      <w:r>
        <w:rPr>
          <w:rFonts w:ascii="Calibri" w:hAnsi="Calibri"/>
          <w:b/>
          <w:sz w:val="22"/>
        </w:rPr>
        <w:t>combines:</w:t>
      </w:r>
      <w:r>
        <w:rPr>
          <w:rFonts w:ascii="Calibri" w:hAnsi="Calibri"/>
          <w:sz w:val="22"/>
        </w:rPr>
        <w:t xml:space="preserve"> constructs cognition from several sources;</w:t>
      </w:r>
    </w:p>
    <w:p>
      <w:pPr>
        <w:pStyle w:val="ListBullet"/>
        <w:widowControl/>
      </w:pPr>
      <w:r>
        <w:rPr>
          <w:rFonts w:ascii="Calibri" w:hAnsi="Calibri"/>
          <w:b/>
          <w:sz w:val="22"/>
        </w:rPr>
        <w:t>learned through use of:</w:t>
      </w:r>
      <w:r>
        <w:rPr>
          <w:rFonts w:ascii="Calibri" w:hAnsi="Calibri"/>
          <w:sz w:val="22"/>
        </w:rPr>
        <w:t xml:space="preserve"> experience or heuristic produced by application;</w:t>
      </w:r>
    </w:p>
    <w:p>
      <w:pPr>
        <w:pStyle w:val="ListBullet"/>
        <w:widowControl/>
      </w:pPr>
      <w:r>
        <w:rPr>
          <w:rFonts w:ascii="Calibri" w:hAnsi="Calibri"/>
          <w:b/>
          <w:sz w:val="22"/>
        </w:rPr>
        <w:t>retracts:</w:t>
      </w:r>
      <w:r>
        <w:rPr>
          <w:rFonts w:ascii="Calibri" w:hAnsi="Calibri"/>
          <w:sz w:val="22"/>
        </w:rPr>
        <w:t xml:space="preserve"> source withdraws a prior claim without deleting history.</w:t>
      </w:r>
    </w:p>
    <w:p>
      <w:pPr>
        <w:pStyle w:val="Heading2"/>
        <w:widowControl/>
      </w:pPr>
      <w:r>
        <w:rPr>
          <w:rFonts w:ascii="Calibri" w:hAnsi="Calibri"/>
          <w:sz w:val="22"/>
        </w:rPr>
        <w:t>6.3 “Newer” is not “better”</w:t>
      </w:r>
    </w:p>
    <w:p>
      <w:pPr>
        <w:widowControl/>
      </w:pPr>
      <w:r>
        <w:rPr>
          <w:rFonts w:ascii="Calibri" w:hAnsi="Calibri"/>
          <w:sz w:val="22"/>
        </w:rPr>
        <w:t>Chronology is evidence, not precedence. A recent Rote may be less credible, less applicable, or merely different. Supersession must state the dimension and scope: corrected measurements, changed environment, revised procedure, updated dependency, changed law, or new operator preference. Historical Rotes may remain valid for past-time reasoning.</w:t>
      </w:r>
    </w:p>
    <w:p>
      <w:pPr>
        <w:pStyle w:val="Heading2"/>
        <w:widowControl/>
      </w:pPr>
      <w:r>
        <w:rPr>
          <w:rFonts w:ascii="Calibri" w:hAnsi="Calibri"/>
          <w:sz w:val="22"/>
        </w:rPr>
        <w:t>6.4 Accumulating experience</w:t>
      </w:r>
    </w:p>
    <w:p>
      <w:pPr>
        <w:widowControl/>
      </w:pPr>
      <w:r>
        <w:rPr>
          <w:rFonts w:ascii="Calibri" w:hAnsi="Calibri"/>
          <w:sz w:val="22"/>
        </w:rPr>
        <w:t>Experience should not endlessly mutate one Rote. Individual episodes may remain distinct, while a derived heuristic aggregates them and names its sample, conditions, failure modes, and uncertainty. New experience can support, weaken, or narrow the heuristic without erasing the episodes.</w:t>
      </w:r>
    </w:p>
    <w:p>
      <w:pPr>
        <w:widowControl/>
      </w:pPr>
      <w:r>
        <w:rPr>
          <w:rFonts w:ascii="Calibri" w:hAnsi="Calibri"/>
          <w:b/>
          <w:sz w:val="22"/>
        </w:rPr>
        <w:t>UNRESOLVED DECISION —</w:t>
      </w:r>
      <w:r>
        <w:rPr>
          <w:rFonts w:ascii="Calibri" w:hAnsi="Calibri"/>
          <w:sz w:val="22"/>
        </w:rPr>
        <w:t xml:space="preserve"> How granular an experience must be before it deserves its own Rote rather than remaining local event evidence. Too fine a boundary creates cognitive debris; too coarse a boundary hides variation and provenance.</w:t>
      </w:r>
    </w:p>
    <w:p>
      <w:pPr>
        <w:pStyle w:val="Heading1"/>
        <w:widowControl/>
      </w:pPr>
      <w:r>
        <w:rPr>
          <w:rFonts w:ascii="Calibri" w:hAnsi="Calibri"/>
          <w:sz w:val="22"/>
        </w:rPr>
        <w:t>7. Relationships and composition</w:t>
      </w:r>
    </w:p>
    <w:p>
      <w:pPr>
        <w:pStyle w:val="Heading2"/>
        <w:widowControl/>
      </w:pPr>
      <w:r>
        <w:rPr>
          <w:rFonts w:ascii="Calibri" w:hAnsi="Calibri"/>
          <w:sz w:val="22"/>
        </w:rPr>
        <w:t>7.1 First-class cognitive relationships</w:t>
      </w:r>
    </w:p>
    <w:p>
      <w:pPr>
        <w:widowControl/>
      </w:pPr>
      <w:r>
        <w:rPr>
          <w:rFonts w:ascii="Calibri" w:hAnsi="Calibri"/>
          <w:b/>
          <w:sz w:val="22"/>
        </w:rPr>
        <w:t>DESIGN DIRECTION —</w:t>
      </w:r>
      <w:r>
        <w:rPr>
          <w:rFonts w:ascii="Calibri" w:hAnsi="Calibri"/>
          <w:sz w:val="22"/>
        </w:rPr>
        <w:t xml:space="preserve"> Rich cognition requires relationships, provenance, applicability, experience, and confidence rather than undifferentiated text.</w:t>
      </w:r>
    </w:p>
    <w:p>
      <w:pPr>
        <w:widowControl/>
      </w:pPr>
      <w:r>
        <w:rPr>
          <w:rFonts w:ascii="Calibri" w:hAnsi="Calibri"/>
          <w:b/>
          <w:sz w:val="22"/>
        </w:rPr>
        <w:t>PROPOSAL —</w:t>
      </w:r>
      <w:r>
        <w:rPr>
          <w:rFonts w:ascii="Calibri" w:hAnsi="Calibri"/>
          <w:sz w:val="22"/>
        </w:rPr>
        <w:t xml:space="preserve"> Relationships between Rotes are first-class cognition when they make a meaningful claim. “Rote A contradicts Rote B under C,” “A is evidence for B,” and “procedure P depends on capability K” are not merely storage links. They have provenance, scope, confidence, and potentially their own Rote-level boundary.</w:t>
      </w:r>
    </w:p>
    <w:p>
      <w:pPr>
        <w:pStyle w:val="Heading2"/>
        <w:widowControl/>
      </w:pPr>
      <w:r>
        <w:rPr>
          <w:rFonts w:ascii="Calibri" w:hAnsi="Calibri"/>
          <w:sz w:val="22"/>
        </w:rPr>
        <w:t>7.2 Containment, reference, dependency, and derivation</w:t>
      </w:r>
    </w:p>
    <w:p>
      <w:pPr>
        <w:widowControl/>
      </w:pPr>
      <w:r>
        <w:rPr>
          <w:rFonts w:ascii="Calibri" w:hAnsi="Calibri"/>
          <w:sz w:val="22"/>
        </w:rPr>
        <w:t>These must remain distinct:</w:t>
      </w:r>
    </w:p>
    <w:p>
      <w:pPr>
        <w:pStyle w:val="ListBullet"/>
        <w:widowControl/>
      </w:pPr>
      <w:r>
        <w:rPr>
          <w:rFonts w:ascii="Calibri" w:hAnsi="Calibri"/>
          <w:b/>
          <w:sz w:val="22"/>
        </w:rPr>
        <w:t>Contains:</w:t>
      </w:r>
      <w:r>
        <w:rPr>
          <w:rFonts w:ascii="Calibri" w:hAnsi="Calibri"/>
          <w:sz w:val="22"/>
        </w:rPr>
        <w:t xml:space="preserve"> a composite makes included Rotes part of its transferred material boundary.</w:t>
      </w:r>
    </w:p>
    <w:p>
      <w:pPr>
        <w:pStyle w:val="ListBullet"/>
        <w:widowControl/>
      </w:pPr>
      <w:r>
        <w:rPr>
          <w:rFonts w:ascii="Calibri" w:hAnsi="Calibri"/>
          <w:b/>
          <w:sz w:val="22"/>
        </w:rPr>
        <w:t>References:</w:t>
      </w:r>
      <w:r>
        <w:rPr>
          <w:rFonts w:ascii="Calibri" w:hAnsi="Calibri"/>
          <w:sz w:val="22"/>
        </w:rPr>
        <w:t xml:space="preserve"> a Rote points to another cognition object for interpretation or evidence without embedding it.</w:t>
      </w:r>
    </w:p>
    <w:p>
      <w:pPr>
        <w:pStyle w:val="ListBullet"/>
        <w:widowControl/>
      </w:pPr>
      <w:r>
        <w:rPr>
          <w:rFonts w:ascii="Calibri" w:hAnsi="Calibri"/>
          <w:b/>
          <w:sz w:val="22"/>
        </w:rPr>
        <w:t>Depends upon:</w:t>
      </w:r>
      <w:r>
        <w:rPr>
          <w:rFonts w:ascii="Calibri" w:hAnsi="Calibri"/>
          <w:sz w:val="22"/>
        </w:rPr>
        <w:t xml:space="preserve"> meaningful use requires another Rote, concept, capability, environment, or resource.</w:t>
      </w:r>
    </w:p>
    <w:p>
      <w:pPr>
        <w:pStyle w:val="ListBullet"/>
        <w:widowControl/>
      </w:pPr>
      <w:r>
        <w:rPr>
          <w:rFonts w:ascii="Calibri" w:hAnsi="Calibri"/>
          <w:b/>
          <w:sz w:val="22"/>
        </w:rPr>
        <w:t>Derives from:</w:t>
      </w:r>
      <w:r>
        <w:rPr>
          <w:rFonts w:ascii="Calibri" w:hAnsi="Calibri"/>
          <w:sz w:val="22"/>
        </w:rPr>
        <w:t xml:space="preserve"> the current cognition was produced through a transformation of source cognition.</w:t>
      </w:r>
    </w:p>
    <w:p>
      <w:pPr>
        <w:pStyle w:val="ListBullet"/>
        <w:widowControl/>
      </w:pPr>
      <w:r>
        <w:rPr>
          <w:rFonts w:ascii="Calibri" w:hAnsi="Calibri"/>
          <w:b/>
          <w:sz w:val="22"/>
        </w:rPr>
        <w:t>Composes with:</w:t>
      </w:r>
      <w:r>
        <w:rPr>
          <w:rFonts w:ascii="Calibri" w:hAnsi="Calibri"/>
          <w:sz w:val="22"/>
        </w:rPr>
        <w:t xml:space="preserve"> Rotes can jointly produce an interpretation or effect while retaining separate identities.</w:t>
      </w:r>
    </w:p>
    <w:p>
      <w:pPr>
        <w:widowControl/>
      </w:pPr>
      <w:r>
        <w:rPr>
          <w:rFonts w:ascii="Calibri" w:hAnsi="Calibri"/>
          <w:sz w:val="22"/>
        </w:rPr>
        <w:t>A composite Rote must add a cognitive construction—selection rationale, synthesis, orchestration, or emergent claim. A zip file of unrelated Rotes is a carrier collection, not automatically a new Rote.</w:t>
      </w:r>
    </w:p>
    <w:p>
      <w:pPr>
        <w:pStyle w:val="Heading2"/>
        <w:widowControl/>
      </w:pPr>
      <w:r>
        <w:rPr>
          <w:rFonts w:ascii="Calibri" w:hAnsi="Calibri"/>
          <w:sz w:val="22"/>
        </w:rPr>
        <w:t>7.3 Dependency does not convey authority</w:t>
      </w:r>
    </w:p>
    <w:p>
      <w:pPr>
        <w:widowControl/>
      </w:pPr>
      <w:r>
        <w:rPr>
          <w:rFonts w:ascii="Calibri" w:hAnsi="Calibri"/>
          <w:sz w:val="22"/>
        </w:rPr>
        <w:t>A capability Rote may depend on an executable component, credential, hardware device, or another capability. That dependency declaration neither supplies the resource nor authorizes obtaining, installing, configuring, or using it.</w:t>
      </w:r>
    </w:p>
    <w:p>
      <w:pPr>
        <w:pStyle w:val="Heading1"/>
        <w:widowControl/>
      </w:pPr>
      <w:r>
        <w:rPr>
          <w:rFonts w:ascii="Calibri" w:hAnsi="Calibri"/>
          <w:sz w:val="22"/>
        </w:rPr>
        <w:t>8. Provenance, evidence, and chain of custody</w:t>
      </w:r>
    </w:p>
    <w:p>
      <w:pPr>
        <w:pStyle w:val="Heading2"/>
        <w:widowControl/>
      </w:pPr>
      <w:r>
        <w:rPr>
          <w:rFonts w:ascii="Calibri" w:hAnsi="Calibri"/>
          <w:sz w:val="22"/>
        </w:rPr>
        <w:t>8.1 Provenance is layered</w:t>
      </w:r>
    </w:p>
    <w:p>
      <w:pPr>
        <w:widowControl/>
      </w:pPr>
      <w:r>
        <w:rPr>
          <w:rFonts w:ascii="Calibri" w:hAnsi="Calibri"/>
          <w:b/>
          <w:sz w:val="22"/>
        </w:rPr>
        <w:t>SETTLED PRINCIPLE —</w:t>
      </w:r>
      <w:r>
        <w:rPr>
          <w:rFonts w:ascii="Calibri" w:hAnsi="Calibri"/>
          <w:sz w:val="22"/>
        </w:rPr>
        <w:t xml:space="preserve"> AncientOS should preserve explicit provenance and evidence for critical cognition and action.</w:t>
      </w:r>
    </w:p>
    <w:p>
      <w:pPr>
        <w:widowControl/>
      </w:pPr>
      <w:r>
        <w:rPr>
          <w:rFonts w:ascii="Calibri" w:hAnsi="Calibri"/>
          <w:b/>
          <w:sz w:val="22"/>
        </w:rPr>
        <w:t>PROPOSAL —</w:t>
      </w:r>
      <w:r>
        <w:rPr>
          <w:rFonts w:ascii="Calibri" w:hAnsi="Calibri"/>
          <w:sz w:val="22"/>
        </w:rPr>
        <w:t xml:space="preserve"> A receiving system needs to distinguish:</w:t>
      </w:r>
    </w:p>
    <w:p>
      <w:pPr>
        <w:pStyle w:val="ListNumber"/>
        <w:widowControl/>
        <w:numPr>
          <w:ilvl w:val="0"/>
          <w:numId w:val="15"/>
        </w:numPr>
      </w:pPr>
      <w:r>
        <w:rPr>
          <w:rFonts w:ascii="Calibri" w:hAnsi="Calibri"/>
          <w:b/>
          <w:sz w:val="22"/>
        </w:rPr>
        <w:t>Origin provenance:</w:t>
      </w:r>
      <w:r>
        <w:rPr>
          <w:rFonts w:ascii="Calibri" w:hAnsi="Calibri"/>
          <w:sz w:val="22"/>
        </w:rPr>
        <w:t xml:space="preserve"> who or what first observed, authored, constructed, or asserted the cognition.</w:t>
      </w:r>
    </w:p>
    <w:p>
      <w:pPr>
        <w:pStyle w:val="ListNumber"/>
        <w:widowControl/>
        <w:numPr>
          <w:ilvl w:val="0"/>
          <w:numId w:val="15"/>
        </w:numPr>
      </w:pPr>
      <w:r>
        <w:rPr>
          <w:rFonts w:ascii="Calibri" w:hAnsi="Calibri"/>
          <w:b/>
          <w:sz w:val="22"/>
        </w:rPr>
        <w:t>Evidence provenance:</w:t>
      </w:r>
      <w:r>
        <w:rPr>
          <w:rFonts w:ascii="Calibri" w:hAnsi="Calibri"/>
          <w:sz w:val="22"/>
        </w:rPr>
        <w:t xml:space="preserve"> where supporting observations, sources, measurements, and testimony came from.</w:t>
      </w:r>
    </w:p>
    <w:p>
      <w:pPr>
        <w:pStyle w:val="ListNumber"/>
        <w:widowControl/>
        <w:numPr>
          <w:ilvl w:val="0"/>
          <w:numId w:val="15"/>
        </w:numPr>
      </w:pPr>
      <w:r>
        <w:rPr>
          <w:rFonts w:ascii="Calibri" w:hAnsi="Calibri"/>
          <w:b/>
          <w:sz w:val="22"/>
        </w:rPr>
        <w:t>Transformation provenance:</w:t>
      </w:r>
      <w:r>
        <w:rPr>
          <w:rFonts w:ascii="Calibri" w:hAnsi="Calibri"/>
          <w:sz w:val="22"/>
        </w:rPr>
        <w:t xml:space="preserve"> how source cognition became this representation—selection, summarization, inference, generalization, translation, redaction, simulation, or model synthesis.</w:t>
      </w:r>
    </w:p>
    <w:p>
      <w:pPr>
        <w:pStyle w:val="ListNumber"/>
        <w:widowControl/>
        <w:numPr>
          <w:ilvl w:val="0"/>
          <w:numId w:val="15"/>
        </w:numPr>
      </w:pPr>
      <w:r>
        <w:rPr>
          <w:rFonts w:ascii="Calibri" w:hAnsi="Calibri"/>
          <w:b/>
          <w:sz w:val="22"/>
        </w:rPr>
        <w:t>Custody provenance:</w:t>
      </w:r>
      <w:r>
        <w:rPr>
          <w:rFonts w:ascii="Calibri" w:hAnsi="Calibri"/>
          <w:sz w:val="22"/>
        </w:rPr>
        <w:t xml:space="preserve"> how the Rote moved, who handled or attested to it, and where integrity may have been lost.</w:t>
      </w:r>
    </w:p>
    <w:p>
      <w:pPr>
        <w:pStyle w:val="ListNumber"/>
        <w:widowControl/>
        <w:numPr>
          <w:ilvl w:val="0"/>
          <w:numId w:val="15"/>
        </w:numPr>
      </w:pPr>
      <w:r>
        <w:rPr>
          <w:rFonts w:ascii="Calibri" w:hAnsi="Calibri"/>
          <w:b/>
          <w:sz w:val="22"/>
        </w:rPr>
        <w:t>Assessment provenance:</w:t>
      </w:r>
      <w:r>
        <w:rPr>
          <w:rFonts w:ascii="Calibri" w:hAnsi="Calibri"/>
          <w:sz w:val="22"/>
        </w:rPr>
        <w:t xml:space="preserve"> who judged equivalence, trust, applicability, conflict, or quality. Receiver assessments must not be misrepresented as source claims.</w:t>
      </w:r>
    </w:p>
    <w:p>
      <w:pPr>
        <w:pStyle w:val="Heading2"/>
        <w:widowControl/>
      </w:pPr>
      <w:r>
        <w:rPr>
          <w:rFonts w:ascii="Calibri" w:hAnsi="Calibri"/>
          <w:sz w:val="22"/>
        </w:rPr>
        <w:t>8.2 Unknown provenance is representable</w:t>
      </w:r>
    </w:p>
    <w:p>
      <w:pPr>
        <w:widowControl/>
      </w:pPr>
      <w:r>
        <w:rPr>
          <w:rFonts w:ascii="Calibri" w:hAnsi="Calibri"/>
          <w:sz w:val="22"/>
        </w:rPr>
        <w:t>A useful claim of unknown origin can remain a Rote if its uncertainty is explicit. “Unknown” is a provenance posture, not an automatic rejection. It reduces the available trust basis and may constrain integration or require corroboration.</w:t>
      </w:r>
    </w:p>
    <w:p>
      <w:pPr>
        <w:pStyle w:val="Heading2"/>
        <w:widowControl/>
      </w:pPr>
      <w:r>
        <w:rPr>
          <w:rFonts w:ascii="Calibri" w:hAnsi="Calibri"/>
          <w:sz w:val="22"/>
        </w:rPr>
        <w:t>8.3 Signatures do not prove truth</w:t>
      </w:r>
    </w:p>
    <w:p>
      <w:pPr>
        <w:widowControl/>
      </w:pPr>
      <w:r>
        <w:rPr>
          <w:rFonts w:ascii="Calibri" w:hAnsi="Calibri"/>
          <w:sz w:val="22"/>
        </w:rPr>
        <w:t>A future signature may establish that a principal attested to a particular representation. It does not establish semantic correctness, applicability, benign intent, safe transformation, or authority to act. Evidence can be authentic and misleading; a source can be trustworthy in one domain and poor in another.</w:t>
      </w:r>
    </w:p>
    <w:p>
      <w:pPr>
        <w:pStyle w:val="Heading2"/>
        <w:widowControl/>
      </w:pPr>
      <w:r>
        <w:rPr>
          <w:rFonts w:ascii="Calibri" w:hAnsi="Calibri"/>
          <w:sz w:val="22"/>
        </w:rPr>
        <w:t>8.4 Lossy transformations must confess loss</w:t>
      </w:r>
    </w:p>
    <w:p>
      <w:pPr>
        <w:widowControl/>
      </w:pPr>
      <w:r>
        <w:rPr>
          <w:rFonts w:ascii="Calibri" w:hAnsi="Calibri"/>
          <w:sz w:val="22"/>
        </w:rPr>
        <w:t>A summary or learned heuristic should identify what sources it used, what method or actor transformed them, what material was omitted, and what uncertainty the transformation introduced to the extent knowable. A derived Rote that obscures ancestry becomes easier to consume but harder to challenge—a dangerous trade.</w:t>
      </w:r>
    </w:p>
    <w:p>
      <w:pPr>
        <w:pStyle w:val="Heading1"/>
        <w:widowControl/>
      </w:pPr>
      <w:r>
        <w:rPr>
          <w:rFonts w:ascii="Calibri" w:hAnsi="Calibri"/>
          <w:sz w:val="22"/>
        </w:rPr>
        <w:t>9. Trust and applicability</w:t>
      </w:r>
    </w:p>
    <w:p>
      <w:pPr>
        <w:pStyle w:val="Heading2"/>
        <w:widowControl/>
      </w:pPr>
      <w:r>
        <w:rPr>
          <w:rFonts w:ascii="Calibri" w:hAnsi="Calibri"/>
          <w:sz w:val="22"/>
        </w:rPr>
        <w:t>9.1 Trust is local, scoped, and use-specific</w:t>
      </w:r>
    </w:p>
    <w:p>
      <w:pPr>
        <w:widowControl/>
      </w:pPr>
      <w:r>
        <w:rPr>
          <w:rFonts w:ascii="Calibri" w:hAnsi="Calibri"/>
          <w:b/>
          <w:sz w:val="22"/>
        </w:rPr>
        <w:t>PROPOSAL —</w:t>
      </w:r>
      <w:r>
        <w:rPr>
          <w:rFonts w:ascii="Calibri" w:hAnsi="Calibri"/>
          <w:sz w:val="22"/>
        </w:rPr>
        <w:t xml:space="preserve"> Trust is not a property transmitted inside a Rote. A source may assert endorsements; the receiver computes local trust judgments. Trust should be scoped at least to:</w:t>
      </w:r>
    </w:p>
    <w:p>
      <w:pPr>
        <w:pStyle w:val="ListBullet"/>
        <w:widowControl/>
      </w:pPr>
      <w:r>
        <w:rPr>
          <w:rFonts w:ascii="Calibri" w:hAnsi="Calibri"/>
          <w:sz w:val="22"/>
        </w:rPr>
        <w:t>identity/authenticity of source;</w:t>
      </w:r>
    </w:p>
    <w:p>
      <w:pPr>
        <w:pStyle w:val="ListBullet"/>
        <w:widowControl/>
      </w:pPr>
      <w:r>
        <w:rPr>
          <w:rFonts w:ascii="Calibri" w:hAnsi="Calibri"/>
          <w:sz w:val="22"/>
        </w:rPr>
        <w:t>integrity of representation and custody;</w:t>
      </w:r>
    </w:p>
    <w:p>
      <w:pPr>
        <w:pStyle w:val="ListBullet"/>
        <w:widowControl/>
      </w:pPr>
      <w:r>
        <w:rPr>
          <w:rFonts w:ascii="Calibri" w:hAnsi="Calibri"/>
          <w:sz w:val="22"/>
        </w:rPr>
        <w:t>reliability of evidence;</w:t>
      </w:r>
    </w:p>
    <w:p>
      <w:pPr>
        <w:pStyle w:val="ListBullet"/>
        <w:widowControl/>
      </w:pPr>
      <w:r>
        <w:rPr>
          <w:rFonts w:ascii="Calibri" w:hAnsi="Calibri"/>
          <w:sz w:val="22"/>
        </w:rPr>
        <w:t>quality and transparency of transformation;</w:t>
      </w:r>
    </w:p>
    <w:p>
      <w:pPr>
        <w:pStyle w:val="ListBullet"/>
        <w:widowControl/>
      </w:pPr>
      <w:r>
        <w:rPr>
          <w:rFonts w:ascii="Calibri" w:hAnsi="Calibri"/>
          <w:sz w:val="22"/>
        </w:rPr>
        <w:t>plausibility or truth of a claim;</w:t>
      </w:r>
    </w:p>
    <w:p>
      <w:pPr>
        <w:pStyle w:val="ListBullet"/>
        <w:widowControl/>
      </w:pPr>
      <w:r>
        <w:rPr>
          <w:rFonts w:ascii="Calibri" w:hAnsi="Calibri"/>
          <w:sz w:val="22"/>
        </w:rPr>
        <w:t>competence in a domain;</w:t>
      </w:r>
    </w:p>
    <w:p>
      <w:pPr>
        <w:pStyle w:val="ListBullet"/>
        <w:widowControl/>
      </w:pPr>
      <w:r>
        <w:rPr>
          <w:rFonts w:ascii="Calibri" w:hAnsi="Calibri"/>
          <w:sz w:val="22"/>
        </w:rPr>
        <w:t>safety of a procedure;</w:t>
      </w:r>
    </w:p>
    <w:p>
      <w:pPr>
        <w:pStyle w:val="ListBullet"/>
        <w:widowControl/>
      </w:pPr>
      <w:r>
        <w:rPr>
          <w:rFonts w:ascii="Calibri" w:hAnsi="Calibri"/>
          <w:sz w:val="22"/>
        </w:rPr>
        <w:t>integrity of executable content;</w:t>
      </w:r>
    </w:p>
    <w:p>
      <w:pPr>
        <w:pStyle w:val="ListBullet"/>
        <w:widowControl/>
      </w:pPr>
      <w:r>
        <w:rPr>
          <w:rFonts w:ascii="Calibri" w:hAnsi="Calibri"/>
          <w:sz w:val="22"/>
        </w:rPr>
        <w:t>suitability for a proposed use.</w:t>
      </w:r>
    </w:p>
    <w:p>
      <w:pPr>
        <w:widowControl/>
      </w:pPr>
      <w:r>
        <w:rPr>
          <w:rFonts w:ascii="Calibri" w:hAnsi="Calibri"/>
          <w:sz w:val="22"/>
        </w:rPr>
        <w:t>The same Rote may be trusted as historical evidence that “source S claimed X,” but not trusted as proof that X is true. It may be trusted for discussion but not for operational action.</w:t>
      </w:r>
    </w:p>
    <w:p>
      <w:pPr>
        <w:pStyle w:val="Heading2"/>
        <w:widowControl/>
      </w:pPr>
      <w:r>
        <w:rPr>
          <w:rFonts w:ascii="Calibri" w:hAnsi="Calibri"/>
          <w:sz w:val="22"/>
        </w:rPr>
        <w:t>9.2 Applicability is separate from truth</w:t>
      </w:r>
    </w:p>
    <w:p>
      <w:pPr>
        <w:widowControl/>
      </w:pPr>
      <w:r>
        <w:rPr>
          <w:rFonts w:ascii="Calibri" w:hAnsi="Calibri"/>
          <w:sz w:val="22"/>
        </w:rPr>
        <w:t>A correct claim can be irrelevant or hazardous outside its domain. Applicability may depend on:</w:t>
      </w:r>
    </w:p>
    <w:p>
      <w:pPr>
        <w:pStyle w:val="ListBullet"/>
        <w:widowControl/>
      </w:pPr>
      <w:r>
        <w:rPr>
          <w:rFonts w:ascii="Calibri" w:hAnsi="Calibri"/>
          <w:sz w:val="22"/>
        </w:rPr>
        <w:t>person or operator preferences and abilities;</w:t>
      </w:r>
    </w:p>
    <w:p>
      <w:pPr>
        <w:pStyle w:val="ListBullet"/>
        <w:widowControl/>
      </w:pPr>
      <w:r>
        <w:rPr>
          <w:rFonts w:ascii="Calibri" w:hAnsi="Calibri"/>
          <w:sz w:val="22"/>
        </w:rPr>
        <w:t>place, jurisdiction, language, culture, or organization;</w:t>
      </w:r>
    </w:p>
    <w:p>
      <w:pPr>
        <w:pStyle w:val="ListBullet"/>
        <w:widowControl/>
      </w:pPr>
      <w:r>
        <w:rPr>
          <w:rFonts w:ascii="Calibri" w:hAnsi="Calibri"/>
          <w:sz w:val="22"/>
        </w:rPr>
        <w:t>time interval or event sequence;</w:t>
      </w:r>
    </w:p>
    <w:p>
      <w:pPr>
        <w:pStyle w:val="ListBullet"/>
        <w:widowControl/>
      </w:pPr>
      <w:r>
        <w:rPr>
          <w:rFonts w:ascii="Calibri" w:hAnsi="Calibri"/>
          <w:sz w:val="22"/>
        </w:rPr>
        <w:t>hardware, software, versions, models, and configuration;</w:t>
      </w:r>
    </w:p>
    <w:p>
      <w:pPr>
        <w:pStyle w:val="ListBullet"/>
        <w:widowControl/>
      </w:pPr>
      <w:r>
        <w:rPr>
          <w:rFonts w:ascii="Calibri" w:hAnsi="Calibri"/>
          <w:sz w:val="22"/>
        </w:rPr>
        <w:t>available dependencies and capabilities;</w:t>
      </w:r>
    </w:p>
    <w:p>
      <w:pPr>
        <w:pStyle w:val="ListBullet"/>
        <w:widowControl/>
      </w:pPr>
      <w:r>
        <w:rPr>
          <w:rFonts w:ascii="Calibri" w:hAnsi="Calibri"/>
          <w:sz w:val="22"/>
        </w:rPr>
        <w:t>observed environmental preconditions;</w:t>
      </w:r>
    </w:p>
    <w:p>
      <w:pPr>
        <w:pStyle w:val="ListBullet"/>
        <w:widowControl/>
      </w:pPr>
      <w:r>
        <w:rPr>
          <w:rFonts w:ascii="Calibri" w:hAnsi="Calibri"/>
          <w:sz w:val="22"/>
        </w:rPr>
        <w:t>intended outcome and acceptable risk;</w:t>
      </w:r>
    </w:p>
    <w:p>
      <w:pPr>
        <w:pStyle w:val="ListBullet"/>
        <w:widowControl/>
      </w:pPr>
      <w:r>
        <w:rPr>
          <w:rFonts w:ascii="Calibri" w:hAnsi="Calibri"/>
          <w:sz w:val="22"/>
        </w:rPr>
        <w:t>population, sample, or experiential context.</w:t>
      </w:r>
    </w:p>
    <w:p>
      <w:pPr>
        <w:widowControl/>
      </w:pPr>
      <w:r>
        <w:rPr>
          <w:rFonts w:ascii="Calibri" w:hAnsi="Calibri"/>
          <w:sz w:val="22"/>
        </w:rPr>
        <w:t>Applicability claims may be explicit, inferred, unknown, or disputed. The receiver's local applicability assessment can differ from the sender's.</w:t>
      </w:r>
    </w:p>
    <w:p>
      <w:pPr>
        <w:pStyle w:val="Heading2"/>
        <w:widowControl/>
      </w:pPr>
      <w:r>
        <w:rPr>
          <w:rFonts w:ascii="Calibri" w:hAnsi="Calibri"/>
          <w:sz w:val="22"/>
        </w:rPr>
        <w:t>9.3 Trust and applicability can change</w:t>
      </w:r>
    </w:p>
    <w:p>
      <w:pPr>
        <w:widowControl/>
      </w:pPr>
      <w:r>
        <w:rPr>
          <w:rFonts w:ascii="Calibri" w:hAnsi="Calibri"/>
          <w:sz w:val="22"/>
        </w:rPr>
        <w:t>They must be reassessable without rewriting the source Rote. A software upgrade, legal change, new evidence, or changed operator preference can invalidate prior applicability or trust. Therefore “integrated” must not mean permanently unquestionable.</w:t>
      </w:r>
    </w:p>
    <w:p>
      <w:pPr>
        <w:pStyle w:val="Heading1"/>
        <w:widowControl/>
      </w:pPr>
      <w:r>
        <w:rPr>
          <w:rFonts w:ascii="Calibri" w:hAnsi="Calibri"/>
          <w:sz w:val="22"/>
        </w:rPr>
        <w:t>10. Integration semantics by cognitive effect</w:t>
      </w:r>
    </w:p>
    <w:p>
      <w:pPr>
        <w:pStyle w:val="Heading2"/>
        <w:widowControl/>
      </w:pPr>
      <w:r>
        <w:rPr>
          <w:rFonts w:ascii="Calibri" w:hAnsi="Calibri"/>
          <w:sz w:val="22"/>
        </w:rPr>
        <w:t>10.1 Integration is a family of local effects</w:t>
      </w:r>
    </w:p>
    <w:p>
      <w:pPr>
        <w:widowControl/>
      </w:pPr>
      <w:r>
        <w:rPr>
          <w:rFonts w:ascii="Calibri" w:hAnsi="Calibri"/>
          <w:b/>
          <w:sz w:val="22"/>
        </w:rPr>
        <w:t>PROPOSAL —</w:t>
      </w:r>
      <w:r>
        <w:rPr>
          <w:rFonts w:ascii="Calibri" w:hAnsi="Calibri"/>
          <w:sz w:val="22"/>
        </w:rPr>
        <w:t xml:space="preserve"> Define integration as:</w:t>
      </w:r>
    </w:p>
    <w:p>
      <w:pPr>
        <w:widowControl/>
        <w:spacing w:before="100" w:after="180"/>
        <w:ind w:left="504" w:right="360"/>
      </w:pPr>
      <w:r>
        <w:rPr>
          <w:rFonts w:ascii="Calibri" w:hAnsi="Calibri"/>
          <w:i/>
          <w:color w:val="1F4D78"/>
          <w:sz w:val="22"/>
        </w:rPr>
        <w:t>A deliberate local change in how an AncientOS instance can retain, retrieve, reason with, recommend from, learn from, or operationalize the cognition represented by a Rote, while preserving source identity and local assessment.</w:t>
      </w:r>
    </w:p>
    <w:p>
      <w:pPr>
        <w:widowControl/>
      </w:pPr>
      <w:r>
        <w:rPr>
          <w:rFonts w:ascii="Calibri" w:hAnsi="Calibri"/>
          <w:sz w:val="22"/>
        </w:rPr>
        <w:t>Merely receiving or parsing a Rote is not integration. Retaining it in quarantine is a valid no-acceptance outcome. Integration may be partial, staged, reversible in effect, or conditional. Historical records of possession and governed decisions should not be erased merely because active integration is reversed.</w:t>
      </w:r>
    </w:p>
    <w:p>
      <w:pPr>
        <w:pStyle w:val="Heading2"/>
        <w:widowControl/>
      </w:pPr>
      <w:r>
        <w:rPr>
          <w:rFonts w:ascii="Calibri" w:hAnsi="Calibri"/>
          <w:sz w:val="22"/>
        </w:rPr>
        <w:t>10.2 Effect classes</w:t>
      </w:r>
    </w:p>
    <w:p>
      <w:pPr>
        <w:widowControl/>
      </w:pPr>
      <w:r>
        <w:rPr>
          <w:rFonts w:ascii="Calibri" w:hAnsi="Calibri"/>
          <w:b/>
          <w:sz w:val="22"/>
        </w:rPr>
        <w:t>Factual knowledge.</w:t>
      </w:r>
      <w:r>
        <w:rPr>
          <w:rFonts w:ascii="Calibri" w:hAnsi="Calibri"/>
          <w:sz w:val="22"/>
        </w:rPr>
        <w:t xml:space="preserve"> Integration means making a proposition available to reasoning with an epistemic posture: accepted, tentative, disputed, contradicted, historical, or merely attributed. It must not silently become ground truth.</w:t>
      </w:r>
    </w:p>
    <w:p>
      <w:pPr>
        <w:widowControl/>
      </w:pPr>
      <w:r>
        <w:rPr>
          <w:rFonts w:ascii="Calibri" w:hAnsi="Calibri"/>
          <w:b/>
          <w:sz w:val="22"/>
        </w:rPr>
        <w:t>Structured domain knowledge.</w:t>
      </w:r>
      <w:r>
        <w:rPr>
          <w:rFonts w:ascii="Calibri" w:hAnsi="Calibri"/>
          <w:sz w:val="22"/>
        </w:rPr>
        <w:t xml:space="preserve"> Integration means mapping concepts and relationships into the local conceptual system, retaining unmapped or ambiguous portions and the source's ontology. Mapping is itself a transformation with possible loss.</w:t>
      </w:r>
    </w:p>
    <w:p>
      <w:pPr>
        <w:widowControl/>
      </w:pPr>
      <w:r>
        <w:rPr>
          <w:rFonts w:ascii="Calibri" w:hAnsi="Calibri"/>
          <w:b/>
          <w:sz w:val="22"/>
        </w:rPr>
        <w:t>Experience.</w:t>
      </w:r>
      <w:r>
        <w:rPr>
          <w:rFonts w:ascii="Calibri" w:hAnsi="Calibri"/>
          <w:sz w:val="22"/>
        </w:rPr>
        <w:t xml:space="preserve"> Integration means preserving an episode or aggregate as evidence about outcomes under conditions. The receiver may learn from it without pretending the remote experience happened locally.</w:t>
      </w:r>
    </w:p>
    <w:p>
      <w:pPr>
        <w:widowControl/>
      </w:pPr>
      <w:r>
        <w:rPr>
          <w:rFonts w:ascii="Calibri" w:hAnsi="Calibri"/>
          <w:b/>
          <w:sz w:val="22"/>
        </w:rPr>
        <w:t>Procedure.</w:t>
      </w:r>
      <w:r>
        <w:rPr>
          <w:rFonts w:ascii="Calibri" w:hAnsi="Calibri"/>
          <w:sz w:val="22"/>
        </w:rPr>
        <w:t xml:space="preserve"> Integration means making a method available for consideration, simulation, or recommendation, together with prerequisites, expected outcomes, failure modes, and safety constraints. It does not authorize performance.</w:t>
      </w:r>
    </w:p>
    <w:p>
      <w:pPr>
        <w:widowControl/>
      </w:pPr>
      <w:r>
        <w:rPr>
          <w:rFonts w:ascii="Calibri" w:hAnsi="Calibri"/>
          <w:b/>
          <w:sz w:val="22"/>
        </w:rPr>
        <w:t>Heuristic.</w:t>
      </w:r>
      <w:r>
        <w:rPr>
          <w:rFonts w:ascii="Calibri" w:hAnsi="Calibri"/>
          <w:sz w:val="22"/>
        </w:rPr>
        <w:t xml:space="preserve"> Integration means allowing a defeasible rule to influence reasoning within a scoped context and weight. It should remain challengeable by counterexamples and must not masquerade as a deterministic rule.</w:t>
      </w:r>
    </w:p>
    <w:p>
      <w:pPr>
        <w:widowControl/>
      </w:pPr>
      <w:r>
        <w:rPr>
          <w:rFonts w:ascii="Calibri" w:hAnsi="Calibri"/>
          <w:b/>
          <w:sz w:val="22"/>
        </w:rPr>
        <w:t>Capability.</w:t>
      </w:r>
      <w:r>
        <w:rPr>
          <w:rFonts w:ascii="Calibri" w:hAnsi="Calibri"/>
          <w:sz w:val="22"/>
        </w:rPr>
        <w:t xml:space="preserve"> Integration may include conceptual recognition, dependency resolution, installation, registration, configuration, activation, and authorization—but these are separate effects and may involve distinct governance boundaries.</w:t>
      </w:r>
    </w:p>
    <w:p>
      <w:pPr>
        <w:widowControl/>
      </w:pPr>
      <w:r>
        <w:rPr>
          <w:rFonts w:ascii="Calibri" w:hAnsi="Calibri"/>
          <w:b/>
          <w:sz w:val="22"/>
        </w:rPr>
        <w:t>Executable/installable cognition.</w:t>
      </w:r>
      <w:r>
        <w:rPr>
          <w:rFonts w:ascii="Calibri" w:hAnsi="Calibri"/>
          <w:sz w:val="22"/>
        </w:rPr>
        <w:t xml:space="preserve"> Its informational portions can be inspected and retained without executing code. Obtaining dependencies, modifying the environment, activating providers, accessing credentials, and performing actions are distinct mutations.</w:t>
      </w:r>
    </w:p>
    <w:p>
      <w:pPr>
        <w:pStyle w:val="Heading2"/>
        <w:widowControl/>
      </w:pPr>
      <w:r>
        <w:rPr>
          <w:rFonts w:ascii="Calibri" w:hAnsi="Calibri"/>
          <w:sz w:val="22"/>
        </w:rPr>
        <w:t>10.3 Partial integration and projection</w:t>
      </w:r>
    </w:p>
    <w:p>
      <w:pPr>
        <w:widowControl/>
      </w:pPr>
      <w:r>
        <w:rPr>
          <w:rFonts w:ascii="Calibri" w:hAnsi="Calibri"/>
          <w:sz w:val="22"/>
        </w:rPr>
        <w:t>A receiver may integrate only a safe or intelligible projection: for example, the conceptual procedure and failure knowledge but not its executable component; anonymized aggregate experience but not raw episodes; a claim without accepting a source-proposed confidence. The result is locally derived cognition and must preserve its transformation and ancestry.</w:t>
      </w:r>
    </w:p>
    <w:p>
      <w:pPr>
        <w:pStyle w:val="Heading2"/>
        <w:widowControl/>
      </w:pPr>
      <w:r>
        <w:rPr>
          <w:rFonts w:ascii="Calibri" w:hAnsi="Calibri"/>
          <w:sz w:val="22"/>
        </w:rPr>
        <w:t>10.4 Reversibility limits</w:t>
      </w:r>
    </w:p>
    <w:p>
      <w:pPr>
        <w:widowControl/>
      </w:pPr>
      <w:r>
        <w:rPr>
          <w:rFonts w:ascii="Calibri" w:hAnsi="Calibri"/>
          <w:sz w:val="22"/>
        </w:rPr>
        <w:t>Disabling a capability can be reversible. Unlearning a fact that influenced later reasoning may not be. External effects may be irreversible. AncientOS should distinguish reversal of active availability, removal of installed components, revocation of authority, and retention of audit/history.</w:t>
      </w:r>
    </w:p>
    <w:p>
      <w:pPr>
        <w:pStyle w:val="Heading1"/>
        <w:widowControl/>
      </w:pPr>
      <w:r>
        <w:rPr>
          <w:rFonts w:ascii="Calibri" w:hAnsi="Calibri"/>
          <w:sz w:val="22"/>
        </w:rPr>
        <w:t>11. Conflict, contradiction, and uncertainty</w:t>
      </w:r>
    </w:p>
    <w:p>
      <w:pPr>
        <w:pStyle w:val="Heading2"/>
        <w:widowControl/>
      </w:pPr>
      <w:r>
        <w:rPr>
          <w:rFonts w:ascii="Calibri" w:hAnsi="Calibri"/>
          <w:sz w:val="22"/>
        </w:rPr>
        <w:t>11.1 Contradiction does not imply overwrite</w:t>
      </w:r>
    </w:p>
    <w:p>
      <w:pPr>
        <w:widowControl/>
      </w:pPr>
      <w:r>
        <w:rPr>
          <w:rFonts w:ascii="Calibri" w:hAnsi="Calibri"/>
          <w:b/>
          <w:sz w:val="22"/>
        </w:rPr>
        <w:t>PROPOSAL —</w:t>
      </w:r>
      <w:r>
        <w:rPr>
          <w:rFonts w:ascii="Calibri" w:hAnsi="Calibri"/>
          <w:sz w:val="22"/>
        </w:rPr>
        <w:t xml:space="preserve"> Conflicting Rotes should normally coexist as claims until context or evidence resolves them. Conflict evaluation should ask:</w:t>
      </w:r>
    </w:p>
    <w:p>
      <w:pPr>
        <w:pStyle w:val="ListBullet"/>
        <w:widowControl/>
      </w:pPr>
      <w:r>
        <w:rPr>
          <w:rFonts w:ascii="Calibri" w:hAnsi="Calibri"/>
          <w:sz w:val="22"/>
        </w:rPr>
        <w:t>Are the propositions actually about the same subject and terms?</w:t>
      </w:r>
    </w:p>
    <w:p>
      <w:pPr>
        <w:pStyle w:val="ListBullet"/>
        <w:widowControl/>
      </w:pPr>
      <w:r>
        <w:rPr>
          <w:rFonts w:ascii="Calibri" w:hAnsi="Calibri"/>
          <w:sz w:val="22"/>
        </w:rPr>
        <w:t>Do their applicability envelopes overlap?</w:t>
      </w:r>
    </w:p>
    <w:p>
      <w:pPr>
        <w:pStyle w:val="ListBullet"/>
        <w:widowControl/>
      </w:pPr>
      <w:r>
        <w:rPr>
          <w:rFonts w:ascii="Calibri" w:hAnsi="Calibri"/>
          <w:sz w:val="22"/>
        </w:rPr>
        <w:t>Are they observations at different times?</w:t>
      </w:r>
    </w:p>
    <w:p>
      <w:pPr>
        <w:pStyle w:val="ListBullet"/>
        <w:widowControl/>
      </w:pPr>
      <w:r>
        <w:rPr>
          <w:rFonts w:ascii="Calibri" w:hAnsi="Calibri"/>
          <w:sz w:val="22"/>
        </w:rPr>
        <w:t>Is one a generalization and the other an exception?</w:t>
      </w:r>
    </w:p>
    <w:p>
      <w:pPr>
        <w:pStyle w:val="ListBullet"/>
        <w:widowControl/>
      </w:pPr>
      <w:r>
        <w:rPr>
          <w:rFonts w:ascii="Calibri" w:hAnsi="Calibri"/>
          <w:sz w:val="22"/>
        </w:rPr>
        <w:t>Are measurements, definitions, or thresholds different?</w:t>
      </w:r>
    </w:p>
    <w:p>
      <w:pPr>
        <w:pStyle w:val="ListBullet"/>
        <w:widowControl/>
      </w:pPr>
      <w:r>
        <w:rPr>
          <w:rFonts w:ascii="Calibri" w:hAnsi="Calibri"/>
          <w:sz w:val="22"/>
        </w:rPr>
        <w:t>Is either normative rather than descriptive?</w:t>
      </w:r>
    </w:p>
    <w:p>
      <w:pPr>
        <w:pStyle w:val="ListBullet"/>
        <w:widowControl/>
      </w:pPr>
      <w:r>
        <w:rPr>
          <w:rFonts w:ascii="Calibri" w:hAnsi="Calibri"/>
          <w:sz w:val="22"/>
        </w:rPr>
        <w:t>What evidence and transformation produced each?</w:t>
      </w:r>
    </w:p>
    <w:p>
      <w:pPr>
        <w:pStyle w:val="ListBullet"/>
        <w:widowControl/>
      </w:pPr>
      <w:r>
        <w:rPr>
          <w:rFonts w:ascii="Calibri" w:hAnsi="Calibri"/>
          <w:sz w:val="22"/>
        </w:rPr>
        <w:t>What uncertainty remains?</w:t>
      </w:r>
    </w:p>
    <w:p>
      <w:pPr>
        <w:pStyle w:val="Heading2"/>
        <w:widowControl/>
      </w:pPr>
      <w:r>
        <w:rPr>
          <w:rFonts w:ascii="Calibri" w:hAnsi="Calibri"/>
          <w:sz w:val="22"/>
        </w:rPr>
        <w:t>11.2 Conflict outcomes</w:t>
      </w:r>
    </w:p>
    <w:p>
      <w:pPr>
        <w:widowControl/>
      </w:pPr>
      <w:r>
        <w:rPr>
          <w:rFonts w:ascii="Calibri" w:hAnsi="Calibri"/>
          <w:sz w:val="22"/>
        </w:rPr>
        <w:t>Possible local outcomes include contextual coexistence, unresolved dispute, preference for one claim for a specified use, synthesis into a qualified claim, identification of an exception, rejection, or historical supersession. The resolution is new cognition with its own provenance; it should not retroactively alter the source Rotes.</w:t>
      </w:r>
    </w:p>
    <w:p>
      <w:pPr>
        <w:pStyle w:val="Heading2"/>
        <w:widowControl/>
      </w:pPr>
      <w:r>
        <w:rPr>
          <w:rFonts w:ascii="Calibri" w:hAnsi="Calibri"/>
          <w:sz w:val="22"/>
        </w:rPr>
        <w:t>11.3 Negative and absent knowledge</w:t>
      </w:r>
    </w:p>
    <w:p>
      <w:pPr>
        <w:widowControl/>
      </w:pPr>
      <w:r>
        <w:rPr>
          <w:rFonts w:ascii="Calibri" w:hAnsi="Calibri"/>
          <w:sz w:val="22"/>
        </w:rPr>
        <w:t>“No evidence of X,” “X was not observed,” and “X is false” are different claims. Peer comparison must not turn absence from one instance into a negative assertion. Unknown, withheld, undiscoverable, and intentionally private must remain indistinguishable where privacy requires it.</w:t>
      </w:r>
    </w:p>
    <w:p>
      <w:pPr>
        <w:pStyle w:val="Heading1"/>
        <w:widowControl/>
      </w:pPr>
      <w:r>
        <w:rPr>
          <w:rFonts w:ascii="Calibri" w:hAnsi="Calibri"/>
          <w:sz w:val="22"/>
        </w:rPr>
        <w:t>12. Experience and learning</w:t>
      </w:r>
    </w:p>
    <w:p>
      <w:pPr>
        <w:pStyle w:val="Heading2"/>
        <w:widowControl/>
      </w:pPr>
      <w:r>
        <w:rPr>
          <w:rFonts w:ascii="Calibri" w:hAnsi="Calibri"/>
          <w:sz w:val="22"/>
        </w:rPr>
        <w:t>12.1 Experience is first-class, but not automatically portable</w:t>
      </w:r>
    </w:p>
    <w:p>
      <w:pPr>
        <w:widowControl/>
      </w:pPr>
      <w:r>
        <w:rPr>
          <w:rFonts w:ascii="Calibri" w:hAnsi="Calibri"/>
          <w:b/>
          <w:sz w:val="22"/>
        </w:rPr>
        <w:t>DESIGN DIRECTION —</w:t>
      </w:r>
      <w:r>
        <w:rPr>
          <w:rFonts w:ascii="Calibri" w:hAnsi="Calibri"/>
          <w:sz w:val="22"/>
        </w:rPr>
        <w:t xml:space="preserve"> A Rote may represent attempts, outcomes, conditions, and learned heuristics.</w:t>
      </w:r>
    </w:p>
    <w:p>
      <w:pPr>
        <w:widowControl/>
      </w:pPr>
      <w:r>
        <w:rPr>
          <w:rFonts w:ascii="Calibri" w:hAnsi="Calibri"/>
          <w:b/>
          <w:sz w:val="22"/>
        </w:rPr>
        <w:t>PROPOSAL —</w:t>
      </w:r>
      <w:r>
        <w:rPr>
          <w:rFonts w:ascii="Calibri" w:hAnsi="Calibri"/>
          <w:sz w:val="22"/>
        </w:rPr>
        <w:t xml:space="preserve"> An experience Rote should distinguish:</w:t>
      </w:r>
    </w:p>
    <w:p>
      <w:pPr>
        <w:pStyle w:val="ListBullet"/>
        <w:widowControl/>
      </w:pPr>
      <w:r>
        <w:rPr>
          <w:rFonts w:ascii="Calibri" w:hAnsi="Calibri"/>
          <w:sz w:val="22"/>
        </w:rPr>
        <w:t>the episode or episode set;</w:t>
      </w:r>
    </w:p>
    <w:p>
      <w:pPr>
        <w:pStyle w:val="ListBullet"/>
        <w:widowControl/>
      </w:pPr>
      <w:r>
        <w:rPr>
          <w:rFonts w:ascii="Calibri" w:hAnsi="Calibri"/>
          <w:sz w:val="22"/>
        </w:rPr>
        <w:t>preconditions and relevant environment;</w:t>
      </w:r>
    </w:p>
    <w:p>
      <w:pPr>
        <w:pStyle w:val="ListBullet"/>
        <w:widowControl/>
      </w:pPr>
      <w:r>
        <w:rPr>
          <w:rFonts w:ascii="Calibri" w:hAnsi="Calibri"/>
          <w:sz w:val="22"/>
        </w:rPr>
        <w:t>action or exposure;</w:t>
      </w:r>
    </w:p>
    <w:p>
      <w:pPr>
        <w:pStyle w:val="ListBullet"/>
        <w:widowControl/>
      </w:pPr>
      <w:r>
        <w:rPr>
          <w:rFonts w:ascii="Calibri" w:hAnsi="Calibri"/>
          <w:sz w:val="22"/>
        </w:rPr>
        <w:t>observed outcomes and side effects;</w:t>
      </w:r>
    </w:p>
    <w:p>
      <w:pPr>
        <w:pStyle w:val="ListBullet"/>
        <w:widowControl/>
      </w:pPr>
      <w:r>
        <w:rPr>
          <w:rFonts w:ascii="Calibri" w:hAnsi="Calibri"/>
          <w:sz w:val="22"/>
        </w:rPr>
        <w:t>interpretation made at the time;</w:t>
      </w:r>
    </w:p>
    <w:p>
      <w:pPr>
        <w:pStyle w:val="ListBullet"/>
        <w:widowControl/>
      </w:pPr>
      <w:r>
        <w:rPr>
          <w:rFonts w:ascii="Calibri" w:hAnsi="Calibri"/>
          <w:sz w:val="22"/>
        </w:rPr>
        <w:t>later interpretation or lesson;</w:t>
      </w:r>
    </w:p>
    <w:p>
      <w:pPr>
        <w:pStyle w:val="ListBullet"/>
        <w:widowControl/>
      </w:pPr>
      <w:r>
        <w:rPr>
          <w:rFonts w:ascii="Calibri" w:hAnsi="Calibri"/>
          <w:sz w:val="22"/>
        </w:rPr>
        <w:t>counterfactual uncertainty;</w:t>
      </w:r>
    </w:p>
    <w:p>
      <w:pPr>
        <w:pStyle w:val="ListBullet"/>
        <w:widowControl/>
      </w:pPr>
      <w:r>
        <w:rPr>
          <w:rFonts w:ascii="Calibri" w:hAnsi="Calibri"/>
          <w:sz w:val="22"/>
        </w:rPr>
        <w:t>private or non-transferable context;</w:t>
      </w:r>
    </w:p>
    <w:p>
      <w:pPr>
        <w:pStyle w:val="ListBullet"/>
        <w:widowControl/>
      </w:pPr>
      <w:r>
        <w:rPr>
          <w:rFonts w:ascii="Calibri" w:hAnsi="Calibri"/>
          <w:sz w:val="22"/>
        </w:rPr>
        <w:t>degree of generalization claimed.</w:t>
      </w:r>
    </w:p>
    <w:p>
      <w:pPr>
        <w:widowControl/>
      </w:pPr>
      <w:r>
        <w:rPr>
          <w:rFonts w:ascii="Calibri" w:hAnsi="Calibri"/>
          <w:sz w:val="22"/>
        </w:rPr>
        <w:t>The event and the lesson are different cognition. “This failed three times on my configuration” may support but does not entail “this procedure is generally unreliable.” A transferable lesson should preserve its evidentiary base and limits.</w:t>
      </w:r>
    </w:p>
    <w:p>
      <w:pPr>
        <w:pStyle w:val="Heading2"/>
        <w:widowControl/>
      </w:pPr>
      <w:r>
        <w:rPr>
          <w:rFonts w:ascii="Calibri" w:hAnsi="Calibri"/>
          <w:sz w:val="22"/>
        </w:rPr>
        <w:t>12.2 Locality gradient</w:t>
      </w:r>
    </w:p>
    <w:p>
      <w:pPr>
        <w:widowControl/>
      </w:pPr>
      <w:r>
        <w:rPr>
          <w:rFonts w:ascii="Calibri" w:hAnsi="Calibri"/>
          <w:sz w:val="22"/>
        </w:rPr>
        <w:t>Experience contains layers with different portability:</w:t>
      </w:r>
    </w:p>
    <w:p>
      <w:pPr>
        <w:pStyle w:val="ListBullet"/>
        <w:widowControl/>
      </w:pPr>
      <w:r>
        <w:rPr>
          <w:rFonts w:ascii="Calibri" w:hAnsi="Calibri"/>
          <w:b/>
          <w:sz w:val="22"/>
        </w:rPr>
        <w:t>intrinsically local:</w:t>
      </w:r>
      <w:r>
        <w:rPr>
          <w:rFonts w:ascii="Calibri" w:hAnsi="Calibri"/>
          <w:sz w:val="22"/>
        </w:rPr>
        <w:t xml:space="preserve"> credentials, personal identifiers, exact device addresses, private messages, regulated records;</w:t>
      </w:r>
    </w:p>
    <w:p>
      <w:pPr>
        <w:pStyle w:val="ListBullet"/>
        <w:widowControl/>
      </w:pPr>
      <w:r>
        <w:rPr>
          <w:rFonts w:ascii="Calibri" w:hAnsi="Calibri"/>
          <w:b/>
          <w:sz w:val="22"/>
        </w:rPr>
        <w:t>contextually necessary:</w:t>
      </w:r>
      <w:r>
        <w:rPr>
          <w:rFonts w:ascii="Calibri" w:hAnsi="Calibri"/>
          <w:sz w:val="22"/>
        </w:rPr>
        <w:t xml:space="preserve"> version, hardware class, jurisdiction, workflow constraints;</w:t>
      </w:r>
    </w:p>
    <w:p>
      <w:pPr>
        <w:pStyle w:val="ListBullet"/>
        <w:widowControl/>
      </w:pPr>
      <w:r>
        <w:rPr>
          <w:rFonts w:ascii="Calibri" w:hAnsi="Calibri"/>
          <w:b/>
          <w:sz w:val="22"/>
        </w:rPr>
        <w:t>generalizable:</w:t>
      </w:r>
      <w:r>
        <w:rPr>
          <w:rFonts w:ascii="Calibri" w:hAnsi="Calibri"/>
          <w:sz w:val="22"/>
        </w:rPr>
        <w:t xml:space="preserve"> failure signature, causal hypothesis, safe workaround, decision heuristic;</w:t>
      </w:r>
    </w:p>
    <w:p>
      <w:pPr>
        <w:pStyle w:val="ListBullet"/>
        <w:widowControl/>
      </w:pPr>
      <w:r>
        <w:rPr>
          <w:rFonts w:ascii="Calibri" w:hAnsi="Calibri"/>
          <w:b/>
          <w:sz w:val="22"/>
        </w:rPr>
        <w:t>public evidence:</w:t>
      </w:r>
      <w:r>
        <w:rPr>
          <w:rFonts w:ascii="Calibri" w:hAnsi="Calibri"/>
          <w:sz w:val="22"/>
        </w:rPr>
        <w:t xml:space="preserve"> non-sensitive source material or reproducible measurements.</w:t>
      </w:r>
    </w:p>
    <w:p>
      <w:pPr>
        <w:widowControl/>
      </w:pPr>
      <w:r>
        <w:rPr>
          <w:rFonts w:ascii="Calibri" w:hAnsi="Calibri"/>
          <w:sz w:val="22"/>
        </w:rPr>
        <w:t>Transfer preparation should seek the minimum context necessary to preserve meaning, not maximal anonymization at the cost of false generality.</w:t>
      </w:r>
    </w:p>
    <w:p>
      <w:pPr>
        <w:pStyle w:val="Heading2"/>
        <w:widowControl/>
      </w:pPr>
      <w:r>
        <w:rPr>
          <w:rFonts w:ascii="Calibri" w:hAnsi="Calibri"/>
          <w:sz w:val="22"/>
        </w:rPr>
        <w:t>12.3 Learning is a transformation</w:t>
      </w:r>
    </w:p>
    <w:p>
      <w:pPr>
        <w:widowControl/>
      </w:pPr>
      <w:r>
        <w:rPr>
          <w:rFonts w:ascii="Calibri" w:hAnsi="Calibri"/>
          <w:sz w:val="22"/>
        </w:rPr>
        <w:t>A system-generated heuristic must identify the experiences or evidence it learned from, the transformation posture, and uncertainty. If a model generated the conclusion, the model's role belongs in transformation provenance; the model does not become the original observer.</w:t>
      </w:r>
    </w:p>
    <w:p>
      <w:pPr>
        <w:pStyle w:val="Heading1"/>
        <w:widowControl/>
      </w:pPr>
      <w:r>
        <w:rPr>
          <w:rFonts w:ascii="Calibri" w:hAnsi="Calibri"/>
          <w:sz w:val="22"/>
        </w:rPr>
        <w:t>13. Peer-to-peer cognition exchange</w:t>
      </w:r>
    </w:p>
    <w:p>
      <w:pPr>
        <w:widowControl/>
      </w:pPr>
      <w:r>
        <w:rPr>
          <w:rFonts w:ascii="Calibri" w:hAnsi="Calibri"/>
          <w:sz w:val="22"/>
        </w:rPr>
        <w:t>This section defines semantic stages, not a network protocol.</w:t>
      </w:r>
    </w:p>
    <w:p>
      <w:pPr>
        <w:pStyle w:val="Heading2"/>
        <w:widowControl/>
      </w:pPr>
      <w:r>
        <w:rPr>
          <w:rFonts w:ascii="Calibri" w:hAnsi="Calibri"/>
          <w:sz w:val="22"/>
        </w:rPr>
        <w:t>13.1 Encounter and policy context</w:t>
      </w:r>
    </w:p>
    <w:p>
      <w:pPr>
        <w:widowControl/>
      </w:pPr>
      <w:r>
        <w:rPr>
          <w:rFonts w:ascii="Calibri" w:hAnsi="Calibri"/>
          <w:sz w:val="22"/>
        </w:rPr>
        <w:t>Each instance establishes the relevant peer identity or remains explicitly anonymous/unknown, determines the operator's sharing policy, and identifies the encounter context. Peer authentication, social trust, and cognition trust are separate.</w:t>
      </w:r>
    </w:p>
    <w:p>
      <w:pPr>
        <w:pStyle w:val="Heading2"/>
        <w:widowControl/>
      </w:pPr>
      <w:r>
        <w:rPr>
          <w:rFonts w:ascii="Calibri" w:hAnsi="Calibri"/>
          <w:sz w:val="22"/>
        </w:rPr>
        <w:t>13.2 Privacy-preserving discovery</w:t>
      </w:r>
    </w:p>
    <w:p>
      <w:pPr>
        <w:widowControl/>
      </w:pPr>
      <w:r>
        <w:rPr>
          <w:rFonts w:ascii="Calibri" w:hAnsi="Calibri"/>
          <w:sz w:val="22"/>
        </w:rPr>
        <w:t>Each side may expose bounded advertisements: topic, cognitive kind, rough applicability, lineage hints, compatibility requirements, and disclosure cost. An advertisement is not the Rote and should reveal no more than policy permits.</w:t>
      </w:r>
    </w:p>
    <w:p>
      <w:pPr>
        <w:widowControl/>
      </w:pPr>
      <w:r>
        <w:rPr>
          <w:rFonts w:ascii="Calibri" w:hAnsi="Calibri"/>
          <w:sz w:val="22"/>
        </w:rPr>
        <w:t>Comparison should support selective questions such as “Do you have cognition relevant to receiver discovery failures on platform family P?” It should not require a global inventory. Non-disclosure must not reveal whether cognition is absent, private, or policy-blocked.</w:t>
      </w:r>
    </w:p>
    <w:p>
      <w:pPr>
        <w:pStyle w:val="Heading2"/>
        <w:widowControl/>
      </w:pPr>
      <w:r>
        <w:rPr>
          <w:rFonts w:ascii="Calibri" w:hAnsi="Calibri"/>
          <w:sz w:val="22"/>
        </w:rPr>
        <w:t>13.3 Difference identification</w:t>
      </w:r>
    </w:p>
    <w:p>
      <w:pPr>
        <w:widowControl/>
      </w:pPr>
      <w:r>
        <w:rPr>
          <w:rFonts w:ascii="Calibri" w:hAnsi="Calibri"/>
          <w:sz w:val="22"/>
        </w:rPr>
        <w:t>The instances identify potential overlap, independent convergence, lineage divergence, missing dependencies, conflicting claims, or complementary experience. The comparison result is provisional because semantic equivalence and applicability may not be computable without more disclosure.</w:t>
      </w:r>
    </w:p>
    <w:p>
      <w:pPr>
        <w:pStyle w:val="Heading2"/>
        <w:widowControl/>
      </w:pPr>
      <w:r>
        <w:rPr>
          <w:rFonts w:ascii="Calibri" w:hAnsi="Calibri"/>
          <w:sz w:val="22"/>
        </w:rPr>
        <w:t>13.4 Offer or request</w:t>
      </w:r>
    </w:p>
    <w:p>
      <w:pPr>
        <w:widowControl/>
      </w:pPr>
      <w:r>
        <w:rPr>
          <w:rFonts w:ascii="Calibri" w:hAnsi="Calibri"/>
          <w:sz w:val="22"/>
        </w:rPr>
        <w:t>A party offers or requests a Rote, a projection, evidence, or a more detailed advertisement. The operator's policy may permit some informational disclosures and require review for others. An offer describes expected meaning and effects but grants no authority on the receiver.</w:t>
      </w:r>
    </w:p>
    <w:p>
      <w:pPr>
        <w:pStyle w:val="Heading2"/>
        <w:widowControl/>
      </w:pPr>
      <w:r>
        <w:rPr>
          <w:rFonts w:ascii="Calibri" w:hAnsi="Calibri"/>
          <w:sz w:val="22"/>
        </w:rPr>
        <w:t>13.5 Rote preparation</w:t>
      </w:r>
    </w:p>
    <w:p>
      <w:pPr>
        <w:widowControl/>
      </w:pPr>
      <w:r>
        <w:rPr>
          <w:rFonts w:ascii="Calibri" w:hAnsi="Calibri"/>
          <w:sz w:val="22"/>
        </w:rPr>
        <w:t>The sender selects the cognitive boundary, minimizes private context, includes necessary provenance and applicability, declares redactions and missing material, and distinguishes source cognition from local interpretations. Preparation may create a new derived Rote rather than export the internal local object directly.</w:t>
      </w:r>
    </w:p>
    <w:p>
      <w:pPr>
        <w:pStyle w:val="Heading2"/>
        <w:widowControl/>
      </w:pPr>
      <w:r>
        <w:rPr>
          <w:rFonts w:ascii="Calibri" w:hAnsi="Calibri"/>
          <w:sz w:val="22"/>
        </w:rPr>
        <w:t>13.6 Reception and inspection</w:t>
      </w:r>
    </w:p>
    <w:p>
      <w:pPr>
        <w:widowControl/>
      </w:pPr>
      <w:r>
        <w:rPr>
          <w:rFonts w:ascii="Calibri" w:hAnsi="Calibri"/>
          <w:sz w:val="22"/>
        </w:rPr>
        <w:t>The receiver acquires, checks integrity, parses, evaluates degree of understanding, inspects provenance/evidence/dependencies, and may quarantine opaque or unsafe portions. Incompatibility is a valid outcome, not a reason to pretend understanding.</w:t>
      </w:r>
    </w:p>
    <w:p>
      <w:pPr>
        <w:pStyle w:val="Heading2"/>
        <w:widowControl/>
      </w:pPr>
      <w:r>
        <w:rPr>
          <w:rFonts w:ascii="Calibri" w:hAnsi="Calibri"/>
          <w:sz w:val="22"/>
        </w:rPr>
        <w:t>13.7 Local assessment and governance</w:t>
      </w:r>
    </w:p>
    <w:p>
      <w:pPr>
        <w:widowControl/>
      </w:pPr>
      <w:r>
        <w:rPr>
          <w:rFonts w:ascii="Calibri" w:hAnsi="Calibri"/>
          <w:sz w:val="22"/>
        </w:rPr>
        <w:t>The receiver evaluates trust, applicability, conflicts, privacy implications, and possible effects. Any required Lich decision binds to the exact proposed local action and conditions—not to the general fact that a peer offered a Rote.</w:t>
      </w:r>
    </w:p>
    <w:p>
      <w:pPr>
        <w:pStyle w:val="Heading2"/>
        <w:widowControl/>
      </w:pPr>
      <w:r>
        <w:rPr>
          <w:rFonts w:ascii="Calibri" w:hAnsi="Calibri"/>
          <w:sz w:val="22"/>
        </w:rPr>
        <w:t>13.8 Integration and aftermath</w:t>
      </w:r>
    </w:p>
    <w:p>
      <w:pPr>
        <w:widowControl/>
      </w:pPr>
      <w:r>
        <w:rPr>
          <w:rFonts w:ascii="Calibri" w:hAnsi="Calibri"/>
          <w:sz w:val="22"/>
        </w:rPr>
        <w:t>The receiver may decline, retain only, integrate a projection, integrate cognition as disputed, prepare dependencies, activate a capability, or authorize bounded use. Local outcomes create new assessments and perhaps new Rotes. Provenance must show that transfer occurred and preserve each instance's later divergence.</w:t>
      </w:r>
    </w:p>
    <w:p>
      <w:pPr>
        <w:pStyle w:val="Heading2"/>
        <w:widowControl/>
      </w:pPr>
      <w:r>
        <w:rPr>
          <w:rFonts w:ascii="Calibri" w:hAnsi="Calibri"/>
          <w:sz w:val="22"/>
        </w:rPr>
        <w:t>13.9 Meeting after shared ancestry</w:t>
      </w:r>
    </w:p>
    <w:p>
      <w:pPr>
        <w:widowControl/>
      </w:pPr>
      <w:r>
        <w:rPr>
          <w:rFonts w:ascii="Calibri" w:hAnsi="Calibri"/>
          <w:sz w:val="22"/>
        </w:rPr>
        <w:t>If both instances descend from an earlier common Rote, comparison should identify the common ancestor, local transformations, added evidence, changed applicability, and incompatible customizations. Neither branch is automatically “the update.” A merge, if useful, is a new synthesis Rote that preserves both lineages and unresolved conflicts.</w:t>
      </w:r>
    </w:p>
    <w:p>
      <w:pPr>
        <w:pStyle w:val="Heading1"/>
        <w:widowControl/>
      </w:pPr>
      <w:r>
        <w:rPr>
          <w:rFonts w:ascii="Calibri" w:hAnsi="Calibri"/>
          <w:sz w:val="22"/>
        </w:rPr>
        <w:t>14. Privacy and governance</w:t>
      </w:r>
    </w:p>
    <w:p>
      <w:pPr>
        <w:pStyle w:val="Heading2"/>
        <w:widowControl/>
      </w:pPr>
      <w:r>
        <w:rPr>
          <w:rFonts w:ascii="Calibri" w:hAnsi="Calibri"/>
          <w:sz w:val="22"/>
        </w:rPr>
        <w:t>14.1 Privacy begins before transfer</w:t>
      </w:r>
    </w:p>
    <w:p>
      <w:pPr>
        <w:widowControl/>
      </w:pPr>
      <w:r>
        <w:rPr>
          <w:rFonts w:ascii="Calibri" w:hAnsi="Calibri"/>
          <w:b/>
          <w:sz w:val="22"/>
        </w:rPr>
        <w:t>PROPOSAL —</w:t>
      </w:r>
      <w:r>
        <w:rPr>
          <w:rFonts w:ascii="Calibri" w:hAnsi="Calibri"/>
          <w:sz w:val="22"/>
        </w:rPr>
        <w:t xml:space="preserve"> Privacy controls apply to advertisement, comparison, preparation, evidence disclosure, transfer, and later re-sharing. Revealing that a Rote exists may itself reveal health, interests, relationships, location, employment, or capabilities.</w:t>
      </w:r>
    </w:p>
    <w:p>
      <w:pPr>
        <w:widowControl/>
      </w:pPr>
      <w:r>
        <w:rPr>
          <w:rFonts w:ascii="Calibri" w:hAnsi="Calibri"/>
          <w:sz w:val="22"/>
        </w:rPr>
        <w:t>A prepared Rote should undergo conceptual checks for:</w:t>
      </w:r>
    </w:p>
    <w:p>
      <w:pPr>
        <w:pStyle w:val="ListBullet"/>
        <w:widowControl/>
      </w:pPr>
      <w:r>
        <w:rPr>
          <w:rFonts w:ascii="Calibri" w:hAnsi="Calibri"/>
          <w:sz w:val="22"/>
        </w:rPr>
        <w:t>direct identifiers and linkable quasi-identifiers;</w:t>
      </w:r>
    </w:p>
    <w:p>
      <w:pPr>
        <w:pStyle w:val="ListBullet"/>
        <w:widowControl/>
      </w:pPr>
      <w:r>
        <w:rPr>
          <w:rFonts w:ascii="Calibri" w:hAnsi="Calibri"/>
          <w:sz w:val="22"/>
        </w:rPr>
        <w:t>credentials, tokens, secrets, private keys, and access paths;</w:t>
      </w:r>
    </w:p>
    <w:p>
      <w:pPr>
        <w:pStyle w:val="ListBullet"/>
        <w:widowControl/>
      </w:pPr>
      <w:r>
        <w:rPr>
          <w:rFonts w:ascii="Calibri" w:hAnsi="Calibri"/>
          <w:sz w:val="22"/>
        </w:rPr>
        <w:t>private content belonging to third parties;</w:t>
      </w:r>
    </w:p>
    <w:p>
      <w:pPr>
        <w:pStyle w:val="ListBullet"/>
        <w:widowControl/>
      </w:pPr>
      <w:r>
        <w:rPr>
          <w:rFonts w:ascii="Calibri" w:hAnsi="Calibri"/>
          <w:sz w:val="22"/>
        </w:rPr>
        <w:t>unnecessary local topology or configuration;</w:t>
      </w:r>
    </w:p>
    <w:p>
      <w:pPr>
        <w:pStyle w:val="ListBullet"/>
        <w:widowControl/>
      </w:pPr>
      <w:r>
        <w:rPr>
          <w:rFonts w:ascii="Calibri" w:hAnsi="Calibri"/>
          <w:sz w:val="22"/>
        </w:rPr>
        <w:t>sensitive inferences that remain after redaction;</w:t>
      </w:r>
    </w:p>
    <w:p>
      <w:pPr>
        <w:pStyle w:val="ListBullet"/>
        <w:widowControl/>
      </w:pPr>
      <w:r>
        <w:rPr>
          <w:rFonts w:ascii="Calibri" w:hAnsi="Calibri"/>
          <w:sz w:val="22"/>
        </w:rPr>
        <w:t>evidence whose removal would make the remaining claim misleading;</w:t>
      </w:r>
    </w:p>
    <w:p>
      <w:pPr>
        <w:pStyle w:val="ListBullet"/>
        <w:widowControl/>
      </w:pPr>
      <w:r>
        <w:rPr>
          <w:rFonts w:ascii="Calibri" w:hAnsi="Calibri"/>
          <w:sz w:val="22"/>
        </w:rPr>
        <w:t>re-identification through rare combinations;</w:t>
      </w:r>
    </w:p>
    <w:p>
      <w:pPr>
        <w:pStyle w:val="ListBullet"/>
        <w:widowControl/>
      </w:pPr>
      <w:r>
        <w:rPr>
          <w:rFonts w:ascii="Calibri" w:hAnsi="Calibri"/>
          <w:sz w:val="22"/>
        </w:rPr>
        <w:t>sender authority to disclose the cognition at all.</w:t>
      </w:r>
    </w:p>
    <w:p>
      <w:pPr>
        <w:widowControl/>
      </w:pPr>
      <w:r>
        <w:rPr>
          <w:rFonts w:ascii="Calibri" w:hAnsi="Calibri"/>
          <w:sz w:val="22"/>
        </w:rPr>
        <w:t>Redaction is a transformation and must be declared. A Rote must not claim stronger evidence than its redacted support warrants.</w:t>
      </w:r>
    </w:p>
    <w:p>
      <w:pPr>
        <w:pStyle w:val="Heading2"/>
        <w:widowControl/>
      </w:pPr>
      <w:r>
        <w:rPr>
          <w:rFonts w:ascii="Calibri" w:hAnsi="Calibri"/>
          <w:sz w:val="22"/>
        </w:rPr>
        <w:t>14.2 Lich intersection</w:t>
      </w:r>
    </w:p>
    <w:p>
      <w:pPr>
        <w:widowControl/>
      </w:pPr>
      <w:r>
        <w:rPr>
          <w:rFonts w:ascii="Calibri" w:hAnsi="Calibri"/>
          <w:b/>
          <w:sz w:val="22"/>
        </w:rPr>
        <w:t>SETTLED PRINCIPLE —</w:t>
      </w:r>
      <w:r>
        <w:rPr>
          <w:rFonts w:ascii="Calibri" w:hAnsi="Calibri"/>
          <w:sz w:val="22"/>
        </w:rPr>
        <w:t xml:space="preserve"> Receiving information is not authority to mutate. Lich is the canonical approval surface for exact bounded governed actions. Governance semantics are transport-neutral and fail closed.</w:t>
      </w:r>
    </w:p>
    <w:p>
      <w:pPr>
        <w:widowControl/>
      </w:pPr>
      <w:r>
        <w:rPr>
          <w:rFonts w:ascii="Calibri" w:hAnsi="Calibri"/>
          <w:b/>
          <w:sz w:val="22"/>
        </w:rPr>
        <w:t>PROPOSAL —</w:t>
      </w:r>
      <w:r>
        <w:rPr>
          <w:rFonts w:ascii="Calibri" w:hAnsi="Calibri"/>
          <w:sz w:val="22"/>
        </w:rPr>
        <w:t xml:space="preserve"> Ordinary read-only operations—receiving, integrity checking, parsing, quarantined inspection, comparing, and reasoning about untrusted cognition—should not automatically require Lich merely because a Rote is involved. Policy may still govern sensitive disclosure or regulated handling.</w:t>
      </w:r>
    </w:p>
    <w:p>
      <w:pPr>
        <w:widowControl/>
      </w:pPr>
      <w:r>
        <w:rPr>
          <w:rFonts w:ascii="Calibri" w:hAnsi="Calibri"/>
          <w:sz w:val="22"/>
        </w:rPr>
        <w:t>Potential Lich boundaries include:</w:t>
      </w:r>
    </w:p>
    <w:p>
      <w:pPr>
        <w:pStyle w:val="ListBullet"/>
        <w:widowControl/>
      </w:pPr>
      <w:r>
        <w:rPr>
          <w:rFonts w:ascii="Calibri" w:hAnsi="Calibri"/>
          <w:sz w:val="22"/>
        </w:rPr>
        <w:t>disclosing private cognition to a peer;</w:t>
      </w:r>
    </w:p>
    <w:p>
      <w:pPr>
        <w:pStyle w:val="ListBullet"/>
        <w:widowControl/>
      </w:pPr>
      <w:r>
        <w:rPr>
          <w:rFonts w:ascii="Calibri" w:hAnsi="Calibri"/>
          <w:sz w:val="22"/>
        </w:rPr>
        <w:t>accepting terms or material external obligations;</w:t>
      </w:r>
    </w:p>
    <w:p>
      <w:pPr>
        <w:pStyle w:val="ListBullet"/>
        <w:widowControl/>
      </w:pPr>
      <w:r>
        <w:rPr>
          <w:rFonts w:ascii="Calibri" w:hAnsi="Calibri"/>
          <w:sz w:val="22"/>
        </w:rPr>
        <w:t>writing into protected or canonical knowledge where that is a governed mutation;</w:t>
      </w:r>
    </w:p>
    <w:p>
      <w:pPr>
        <w:pStyle w:val="ListBullet"/>
        <w:widowControl/>
      </w:pPr>
      <w:r>
        <w:rPr>
          <w:rFonts w:ascii="Calibri" w:hAnsi="Calibri"/>
          <w:sz w:val="22"/>
        </w:rPr>
        <w:t>acquiring or installing dependencies;</w:t>
      </w:r>
    </w:p>
    <w:p>
      <w:pPr>
        <w:pStyle w:val="ListBullet"/>
        <w:widowControl/>
      </w:pPr>
      <w:r>
        <w:rPr>
          <w:rFonts w:ascii="Calibri" w:hAnsi="Calibri"/>
          <w:sz w:val="22"/>
        </w:rPr>
        <w:t>executing content or procedures;</w:t>
      </w:r>
    </w:p>
    <w:p>
      <w:pPr>
        <w:pStyle w:val="ListBullet"/>
        <w:widowControl/>
      </w:pPr>
      <w:r>
        <w:rPr>
          <w:rFonts w:ascii="Calibri" w:hAnsi="Calibri"/>
          <w:sz w:val="22"/>
        </w:rPr>
        <w:t>changing configuration or external systems;</w:t>
      </w:r>
    </w:p>
    <w:p>
      <w:pPr>
        <w:pStyle w:val="ListBullet"/>
        <w:widowControl/>
      </w:pPr>
      <w:r>
        <w:rPr>
          <w:rFonts w:ascii="Calibri" w:hAnsi="Calibri"/>
          <w:sz w:val="22"/>
        </w:rPr>
        <w:t>activating a capability;</w:t>
      </w:r>
    </w:p>
    <w:p>
      <w:pPr>
        <w:pStyle w:val="ListBullet"/>
        <w:widowControl/>
      </w:pPr>
      <w:r>
        <w:rPr>
          <w:rFonts w:ascii="Calibri" w:hAnsi="Calibri"/>
          <w:sz w:val="22"/>
        </w:rPr>
        <w:t>granting a capability authority;</w:t>
      </w:r>
    </w:p>
    <w:p>
      <w:pPr>
        <w:pStyle w:val="ListBullet"/>
        <w:widowControl/>
      </w:pPr>
      <w:r>
        <w:rPr>
          <w:rFonts w:ascii="Calibri" w:hAnsi="Calibri"/>
          <w:sz w:val="22"/>
        </w:rPr>
        <w:t>re-sharing cognition under restricted provenance or consent.</w:t>
      </w:r>
    </w:p>
    <w:p>
      <w:pPr>
        <w:widowControl/>
      </w:pPr>
      <w:r>
        <w:rPr>
          <w:rFonts w:ascii="Calibri" w:hAnsi="Calibri"/>
          <w:sz w:val="22"/>
        </w:rPr>
        <w:t>Each approval must bind to the exact effect, target, source Rote or projection, preconditions, and scope. “Trust this Rote” is too broad to authorize all downstream effects.</w:t>
      </w:r>
    </w:p>
    <w:p>
      <w:pPr>
        <w:pStyle w:val="Heading2"/>
        <w:widowControl/>
      </w:pPr>
      <w:r>
        <w:rPr>
          <w:rFonts w:ascii="Calibri" w:hAnsi="Calibri"/>
          <w:sz w:val="22"/>
        </w:rPr>
        <w:t>14.3 Capability authority</w:t>
      </w:r>
    </w:p>
    <w:p>
      <w:pPr>
        <w:widowControl/>
      </w:pPr>
      <w:r>
        <w:rPr>
          <w:rFonts w:ascii="Calibri" w:hAnsi="Calibri"/>
          <w:sz w:val="22"/>
        </w:rPr>
        <w:t>Possessing a capability Rote, installing its components, registering it with a capability system, activating it, and authorizing it to perform an action are separate. Rubick's conceptual responsibility for capability awareness and Lich's responsibility for authorization should be extended rather than duplicated by a Rote subsystem.</w:t>
      </w:r>
    </w:p>
    <w:p>
      <w:pPr>
        <w:pStyle w:val="Heading1"/>
        <w:widowControl/>
      </w:pPr>
      <w:r>
        <w:rPr>
          <w:rFonts w:ascii="Calibri" w:hAnsi="Calibri"/>
          <w:sz w:val="22"/>
        </w:rPr>
        <w:t>15. Future-proofing constraints</w:t>
      </w:r>
    </w:p>
    <w:p>
      <w:pPr>
        <w:widowControl/>
      </w:pPr>
      <w:r>
        <w:rPr>
          <w:rFonts w:ascii="Calibri" w:hAnsi="Calibri"/>
          <w:b/>
          <w:sz w:val="22"/>
        </w:rPr>
        <w:t>PROPOSAL —</w:t>
      </w:r>
      <w:r>
        <w:rPr>
          <w:rFonts w:ascii="Calibri" w:hAnsi="Calibri"/>
          <w:sz w:val="22"/>
        </w:rPr>
        <w:t xml:space="preserve"> The abstraction should remain valid if future cognition is distributed, multimodal, non-linguistic, learned in latent structures, embodied, probabilistic, or only partly interpretable. Therefore:</w:t>
      </w:r>
    </w:p>
    <w:p>
      <w:pPr>
        <w:pStyle w:val="ListBullet"/>
        <w:widowControl/>
      </w:pPr>
      <w:r>
        <w:rPr>
          <w:rFonts w:ascii="Calibri" w:hAnsi="Calibri"/>
          <w:sz w:val="22"/>
        </w:rPr>
        <w:t>do not require cognition to be text;</w:t>
      </w:r>
    </w:p>
    <w:p>
      <w:pPr>
        <w:pStyle w:val="ListBullet"/>
        <w:widowControl/>
      </w:pPr>
      <w:r>
        <w:rPr>
          <w:rFonts w:ascii="Calibri" w:hAnsi="Calibri"/>
          <w:sz w:val="22"/>
        </w:rPr>
        <w:t>do not equate understanding with embedding similarity;</w:t>
      </w:r>
    </w:p>
    <w:p>
      <w:pPr>
        <w:pStyle w:val="ListBullet"/>
        <w:widowControl/>
      </w:pPr>
      <w:r>
        <w:rPr>
          <w:rFonts w:ascii="Calibri" w:hAnsi="Calibri"/>
          <w:sz w:val="22"/>
        </w:rPr>
        <w:t>do not require a file boundary;</w:t>
      </w:r>
    </w:p>
    <w:p>
      <w:pPr>
        <w:pStyle w:val="ListBullet"/>
        <w:widowControl/>
      </w:pPr>
      <w:r>
        <w:rPr>
          <w:rFonts w:ascii="Calibri" w:hAnsi="Calibri"/>
          <w:sz w:val="22"/>
        </w:rPr>
        <w:t>do not require full self-containment;</w:t>
      </w:r>
    </w:p>
    <w:p>
      <w:pPr>
        <w:pStyle w:val="ListBullet"/>
        <w:widowControl/>
      </w:pPr>
      <w:r>
        <w:rPr>
          <w:rFonts w:ascii="Calibri" w:hAnsi="Calibri"/>
          <w:sz w:val="22"/>
        </w:rPr>
        <w:t>do not assume one global ontology;</w:t>
      </w:r>
    </w:p>
    <w:p>
      <w:pPr>
        <w:pStyle w:val="ListBullet"/>
        <w:widowControl/>
      </w:pPr>
      <w:r>
        <w:rPr>
          <w:rFonts w:ascii="Calibri" w:hAnsi="Calibri"/>
          <w:sz w:val="22"/>
        </w:rPr>
        <w:t>do not require centralized identifiers or issuance;</w:t>
      </w:r>
    </w:p>
    <w:p>
      <w:pPr>
        <w:pStyle w:val="ListBullet"/>
        <w:widowControl/>
      </w:pPr>
      <w:r>
        <w:rPr>
          <w:rFonts w:ascii="Calibri" w:hAnsi="Calibri"/>
          <w:sz w:val="22"/>
        </w:rPr>
        <w:t>do require honest declarations of interpretability and loss;</w:t>
      </w:r>
    </w:p>
    <w:p>
      <w:pPr>
        <w:pStyle w:val="ListBullet"/>
        <w:widowControl/>
      </w:pPr>
      <w:r>
        <w:rPr>
          <w:rFonts w:ascii="Calibri" w:hAnsi="Calibri"/>
          <w:sz w:val="22"/>
        </w:rPr>
        <w:t>do require a receiver to know when it cannot safely understand or operationalize content.</w:t>
      </w:r>
    </w:p>
    <w:p>
      <w:pPr>
        <w:widowControl/>
      </w:pPr>
      <w:r>
        <w:rPr>
          <w:rFonts w:ascii="Calibri" w:hAnsi="Calibri"/>
          <w:sz w:val="22"/>
        </w:rPr>
        <w:t>The hardest future case is cognition that is useful but not semantically explainable. Such content may still be transferable, but calling it a fully understood Rote would overstate the receiver's position. It may be retained as opaque or partially interpretable cognition with sharply constrained integration.</w:t>
      </w:r>
    </w:p>
    <w:p>
      <w:pPr>
        <w:pStyle w:val="Heading1"/>
        <w:widowControl/>
      </w:pPr>
      <w:r>
        <w:rPr>
          <w:rFonts w:ascii="Calibri" w:hAnsi="Calibri"/>
          <w:sz w:val="22"/>
        </w:rPr>
        <w:t>16. Representative stress tests</w:t>
      </w:r>
    </w:p>
    <w:p>
      <w:pPr>
        <w:pStyle w:val="Heading2"/>
        <w:widowControl/>
      </w:pPr>
      <w:r>
        <w:rPr>
          <w:rFonts w:ascii="Calibri" w:hAnsi="Calibri"/>
          <w:sz w:val="22"/>
        </w:rPr>
        <w:t>16.1 Simple factual observation</w:t>
      </w:r>
    </w:p>
    <w:p>
      <w:pPr>
        <w:widowControl/>
      </w:pPr>
      <w:r>
        <w:rPr>
          <w:rFonts w:ascii="Calibri" w:hAnsi="Calibri"/>
          <w:b/>
          <w:sz w:val="22"/>
        </w:rPr>
        <w:t>Example:</w:t>
      </w:r>
      <w:r>
        <w:rPr>
          <w:rFonts w:ascii="Calibri" w:hAnsi="Calibri"/>
          <w:sz w:val="22"/>
        </w:rPr>
        <w:t xml:space="preserve"> “At 21:04 UTC, device D reported firmware 4.2.1,” with observation method and time.</w:t>
      </w:r>
    </w:p>
    <w:p>
      <w:pPr>
        <w:widowControl/>
      </w:pPr>
      <w:r>
        <w:rPr>
          <w:rFonts w:ascii="Calibri" w:hAnsi="Calibri"/>
          <w:b/>
          <w:sz w:val="22"/>
        </w:rPr>
        <w:t>Result:</w:t>
      </w:r>
      <w:r>
        <w:rPr>
          <w:rFonts w:ascii="Calibri" w:hAnsi="Calibri"/>
          <w:sz w:val="22"/>
        </w:rPr>
        <w:t xml:space="preserve"> The model succeeds. The observation is bounded, provenance can name the observer and method, applicability is time/device-specific, and integration can retain it as an attributed fact. A later firmware reading does not make the earlier observation false.</w:t>
      </w:r>
    </w:p>
    <w:p>
      <w:pPr>
        <w:widowControl/>
      </w:pPr>
      <w:r>
        <w:rPr>
          <w:rFonts w:ascii="Calibri" w:hAnsi="Calibri"/>
          <w:b/>
          <w:sz w:val="22"/>
        </w:rPr>
        <w:t>Break point:</w:t>
      </w:r>
      <w:r>
        <w:rPr>
          <w:rFonts w:ascii="Calibri" w:hAnsi="Calibri"/>
          <w:sz w:val="22"/>
        </w:rPr>
        <w:t xml:space="preserve"> If device identity is private or ambiguous, transfer may require a pseudonymous projection; over-redaction can destroy applicability.</w:t>
      </w:r>
    </w:p>
    <w:p>
      <w:pPr>
        <w:pStyle w:val="Heading2"/>
        <w:widowControl/>
      </w:pPr>
      <w:r>
        <w:rPr>
          <w:rFonts w:ascii="Calibri" w:hAnsi="Calibri"/>
          <w:sz w:val="22"/>
        </w:rPr>
        <w:t>16.2 Structured domain knowledge</w:t>
      </w:r>
    </w:p>
    <w:p>
      <w:pPr>
        <w:widowControl/>
      </w:pPr>
      <w:r>
        <w:rPr>
          <w:rFonts w:ascii="Calibri" w:hAnsi="Calibri"/>
          <w:b/>
          <w:sz w:val="22"/>
        </w:rPr>
        <w:t>Example:</w:t>
      </w:r>
      <w:r>
        <w:rPr>
          <w:rFonts w:ascii="Calibri" w:hAnsi="Calibri"/>
          <w:sz w:val="22"/>
        </w:rPr>
        <w:t xml:space="preserve"> A model of media-buying concepts and relationships, including jurisdictional constraints and source definitions.</w:t>
      </w:r>
    </w:p>
    <w:p>
      <w:pPr>
        <w:widowControl/>
      </w:pPr>
      <w:r>
        <w:rPr>
          <w:rFonts w:ascii="Calibri" w:hAnsi="Calibri"/>
          <w:b/>
          <w:sz w:val="22"/>
        </w:rPr>
        <w:t>Result:</w:t>
      </w:r>
      <w:r>
        <w:rPr>
          <w:rFonts w:ascii="Calibri" w:hAnsi="Calibri"/>
          <w:sz w:val="22"/>
        </w:rPr>
        <w:t xml:space="preserve"> The model succeeds if the source ontology is preserved and local mapping is treated as a transformation.</w:t>
      </w:r>
    </w:p>
    <w:p>
      <w:pPr>
        <w:widowControl/>
      </w:pPr>
      <w:r>
        <w:rPr>
          <w:rFonts w:ascii="Calibri" w:hAnsi="Calibri"/>
          <w:b/>
          <w:sz w:val="22"/>
        </w:rPr>
        <w:t>Break point:</w:t>
      </w:r>
      <w:r>
        <w:rPr>
          <w:rFonts w:ascii="Calibri" w:hAnsi="Calibri"/>
          <w:sz w:val="22"/>
        </w:rPr>
        <w:t xml:space="preserve"> Concept labels that look identical may carry different meanings. A receiver cannot infer equivalence from names alone.</w:t>
      </w:r>
    </w:p>
    <w:p>
      <w:pPr>
        <w:pStyle w:val="Heading2"/>
        <w:widowControl/>
      </w:pPr>
      <w:r>
        <w:rPr>
          <w:rFonts w:ascii="Calibri" w:hAnsi="Calibri"/>
          <w:sz w:val="22"/>
        </w:rPr>
        <w:t>16.3 Learned heuristic from repeated experience</w:t>
      </w:r>
    </w:p>
    <w:p>
      <w:pPr>
        <w:widowControl/>
      </w:pPr>
      <w:r>
        <w:rPr>
          <w:rFonts w:ascii="Calibri" w:hAnsi="Calibri"/>
          <w:b/>
          <w:sz w:val="22"/>
        </w:rPr>
        <w:t>Example:</w:t>
      </w:r>
      <w:r>
        <w:rPr>
          <w:rFonts w:ascii="Calibri" w:hAnsi="Calibri"/>
          <w:sz w:val="22"/>
        </w:rPr>
        <w:t xml:space="preserve"> “After three failed discovery attempts following receiver sleep, rediscovery before playback reduced failures in this environment.”</w:t>
      </w:r>
    </w:p>
    <w:p>
      <w:pPr>
        <w:widowControl/>
      </w:pPr>
      <w:r>
        <w:rPr>
          <w:rFonts w:ascii="Calibri" w:hAnsi="Calibri"/>
          <w:b/>
          <w:sz w:val="22"/>
        </w:rPr>
        <w:t>Result:</w:t>
      </w:r>
      <w:r>
        <w:rPr>
          <w:rFonts w:ascii="Calibri" w:hAnsi="Calibri"/>
          <w:sz w:val="22"/>
        </w:rPr>
        <w:t xml:space="preserve"> Experience episodes, derived heuristic, sample limits, and applicability remain distinct. The receiver can use it as defeasible advice.</w:t>
      </w:r>
    </w:p>
    <w:p>
      <w:pPr>
        <w:widowControl/>
      </w:pPr>
      <w:r>
        <w:rPr>
          <w:rFonts w:ascii="Calibri" w:hAnsi="Calibri"/>
          <w:b/>
          <w:sz w:val="22"/>
        </w:rPr>
        <w:t>Break point:</w:t>
      </w:r>
      <w:r>
        <w:rPr>
          <w:rFonts w:ascii="Calibri" w:hAnsi="Calibri"/>
          <w:sz w:val="22"/>
        </w:rPr>
        <w:t xml:space="preserve"> Small samples and hidden confounders make confidence easy to exaggerate. The model represents this weakness but cannot eliminate it.</w:t>
      </w:r>
    </w:p>
    <w:p>
      <w:pPr>
        <w:pStyle w:val="Heading2"/>
        <w:widowControl/>
      </w:pPr>
      <w:r>
        <w:rPr>
          <w:rFonts w:ascii="Calibri" w:hAnsi="Calibri"/>
          <w:sz w:val="22"/>
        </w:rPr>
        <w:t>16.4 Procedural skill</w:t>
      </w:r>
    </w:p>
    <w:p>
      <w:pPr>
        <w:widowControl/>
      </w:pPr>
      <w:r>
        <w:rPr>
          <w:rFonts w:ascii="Calibri" w:hAnsi="Calibri"/>
          <w:b/>
          <w:sz w:val="22"/>
        </w:rPr>
        <w:t>Example:</w:t>
      </w:r>
      <w:r>
        <w:rPr>
          <w:rFonts w:ascii="Calibri" w:hAnsi="Calibri"/>
          <w:sz w:val="22"/>
        </w:rPr>
        <w:t xml:space="preserve"> A safe sequence for diagnosing a service-health failure, including stop conditions.</w:t>
      </w:r>
    </w:p>
    <w:p>
      <w:pPr>
        <w:widowControl/>
      </w:pPr>
      <w:r>
        <w:rPr>
          <w:rFonts w:ascii="Calibri" w:hAnsi="Calibri"/>
          <w:b/>
          <w:sz w:val="22"/>
        </w:rPr>
        <w:t>Result:</w:t>
      </w:r>
      <w:r>
        <w:rPr>
          <w:rFonts w:ascii="Calibri" w:hAnsi="Calibri"/>
          <w:sz w:val="22"/>
        </w:rPr>
        <w:t xml:space="preserve"> The procedure can be inspected, simulated, and recommended without authority to execute. Preconditions and known failure modes fit naturally.</w:t>
      </w:r>
    </w:p>
    <w:p>
      <w:pPr>
        <w:widowControl/>
      </w:pPr>
      <w:r>
        <w:rPr>
          <w:rFonts w:ascii="Calibri" w:hAnsi="Calibri"/>
          <w:b/>
          <w:sz w:val="22"/>
        </w:rPr>
        <w:t>Break point:</w:t>
      </w:r>
      <w:r>
        <w:rPr>
          <w:rFonts w:ascii="Calibri" w:hAnsi="Calibri"/>
          <w:sz w:val="22"/>
        </w:rPr>
        <w:t xml:space="preserve"> Procedures can embed tacit judgment that is not captured by steps. The Rote must declare required competencies or partial interpretability rather than promise portability.</w:t>
      </w:r>
    </w:p>
    <w:p>
      <w:pPr>
        <w:pStyle w:val="Heading2"/>
        <w:widowControl/>
      </w:pPr>
      <w:r>
        <w:rPr>
          <w:rFonts w:ascii="Calibri" w:hAnsi="Calibri"/>
          <w:sz w:val="22"/>
        </w:rPr>
        <w:t>16.5 Capability with executable/installable components</w:t>
      </w:r>
    </w:p>
    <w:p>
      <w:pPr>
        <w:widowControl/>
      </w:pPr>
      <w:r>
        <w:rPr>
          <w:rFonts w:ascii="Calibri" w:hAnsi="Calibri"/>
          <w:b/>
          <w:sz w:val="22"/>
        </w:rPr>
        <w:t>Example:</w:t>
      </w:r>
      <w:r>
        <w:rPr>
          <w:rFonts w:ascii="Calibri" w:hAnsi="Calibri"/>
          <w:sz w:val="22"/>
        </w:rPr>
        <w:t xml:space="preserve"> Cognition describing and enabling a new device-control provider, with executable components and dependencies.</w:t>
      </w:r>
    </w:p>
    <w:p>
      <w:pPr>
        <w:widowControl/>
      </w:pPr>
      <w:r>
        <w:rPr>
          <w:rFonts w:ascii="Calibri" w:hAnsi="Calibri"/>
          <w:b/>
          <w:sz w:val="22"/>
        </w:rPr>
        <w:t>Result:</w:t>
      </w:r>
      <w:r>
        <w:rPr>
          <w:rFonts w:ascii="Calibri" w:hAnsi="Calibri"/>
          <w:sz w:val="22"/>
        </w:rPr>
        <w:t xml:space="preserve"> Conceptual content, code integrity, dependency acquisition, installation, registration, activation, credentials, and authority are separable. AncientOS governance remains intact.</w:t>
      </w:r>
    </w:p>
    <w:p>
      <w:pPr>
        <w:widowControl/>
      </w:pPr>
      <w:r>
        <w:rPr>
          <w:rFonts w:ascii="Calibri" w:hAnsi="Calibri"/>
          <w:b/>
          <w:sz w:val="22"/>
        </w:rPr>
        <w:t>Break point:</w:t>
      </w:r>
      <w:r>
        <w:rPr>
          <w:rFonts w:ascii="Calibri" w:hAnsi="Calibri"/>
          <w:sz w:val="22"/>
        </w:rPr>
        <w:t xml:space="preserve"> This is where Rote most easily collapses into a package. The Rote must include the capability's meaning, limitations, evidence, experience, and integration semantics—not merely software artifacts. Supply-chain safety remains unsolved by the abstraction.</w:t>
      </w:r>
    </w:p>
    <w:p>
      <w:pPr>
        <w:pStyle w:val="Heading2"/>
        <w:widowControl/>
      </w:pPr>
      <w:r>
        <w:rPr>
          <w:rFonts w:ascii="Calibri" w:hAnsi="Calibri"/>
          <w:sz w:val="22"/>
        </w:rPr>
        <w:t>16.6 Rote derived from several Rotes</w:t>
      </w:r>
    </w:p>
    <w:p>
      <w:pPr>
        <w:widowControl/>
      </w:pPr>
      <w:r>
        <w:rPr>
          <w:rFonts w:ascii="Calibri" w:hAnsi="Calibri"/>
          <w:b/>
          <w:sz w:val="22"/>
        </w:rPr>
        <w:t>Example:</w:t>
      </w:r>
      <w:r>
        <w:rPr>
          <w:rFonts w:ascii="Calibri" w:hAnsi="Calibri"/>
          <w:sz w:val="22"/>
        </w:rPr>
        <w:t xml:space="preserve"> A synthesis of five experiences producing a conditional troubleshooting heuristic.</w:t>
      </w:r>
    </w:p>
    <w:p>
      <w:pPr>
        <w:widowControl/>
      </w:pPr>
      <w:r>
        <w:rPr>
          <w:rFonts w:ascii="Calibri" w:hAnsi="Calibri"/>
          <w:b/>
          <w:sz w:val="22"/>
        </w:rPr>
        <w:t>Result:</w:t>
      </w:r>
      <w:r>
        <w:rPr>
          <w:rFonts w:ascii="Calibri" w:hAnsi="Calibri"/>
          <w:sz w:val="22"/>
        </w:rPr>
        <w:t xml:space="preserve"> The composite adds a new claim, preserves ancestry, declares transformation, and can be challenged against its sources.</w:t>
      </w:r>
    </w:p>
    <w:p>
      <w:pPr>
        <w:widowControl/>
      </w:pPr>
      <w:r>
        <w:rPr>
          <w:rFonts w:ascii="Calibri" w:hAnsi="Calibri"/>
          <w:b/>
          <w:sz w:val="22"/>
        </w:rPr>
        <w:t>Break point:</w:t>
      </w:r>
      <w:r>
        <w:rPr>
          <w:rFonts w:ascii="Calibri" w:hAnsi="Calibri"/>
          <w:sz w:val="22"/>
        </w:rPr>
        <w:t xml:space="preserve"> Source chains may become enormous. Summarized provenance risks hiding decisive details; complete provenance risks unusable cognitive weight.</w:t>
      </w:r>
    </w:p>
    <w:p>
      <w:pPr>
        <w:pStyle w:val="Heading2"/>
        <w:widowControl/>
      </w:pPr>
      <w:r>
        <w:rPr>
          <w:rFonts w:ascii="Calibri" w:hAnsi="Calibri"/>
          <w:sz w:val="22"/>
        </w:rPr>
        <w:t>16.7 Independently equivalent cognition</w:t>
      </w:r>
    </w:p>
    <w:p>
      <w:pPr>
        <w:widowControl/>
      </w:pPr>
      <w:r>
        <w:rPr>
          <w:rFonts w:ascii="Calibri" w:hAnsi="Calibri"/>
          <w:b/>
          <w:sz w:val="22"/>
        </w:rPr>
        <w:t>Example:</w:t>
      </w:r>
      <w:r>
        <w:rPr>
          <w:rFonts w:ascii="Calibri" w:hAnsi="Calibri"/>
          <w:sz w:val="22"/>
        </w:rPr>
        <w:t xml:space="preserve"> Two instances independently infer the same workaround.</w:t>
      </w:r>
    </w:p>
    <w:p>
      <w:pPr>
        <w:widowControl/>
      </w:pPr>
      <w:r>
        <w:rPr>
          <w:rFonts w:ascii="Calibri" w:hAnsi="Calibri"/>
          <w:b/>
          <w:sz w:val="22"/>
        </w:rPr>
        <w:t>Result:</w:t>
      </w:r>
      <w:r>
        <w:rPr>
          <w:rFonts w:ascii="Calibri" w:hAnsi="Calibri"/>
          <w:sz w:val="22"/>
        </w:rPr>
        <w:t xml:space="preserve"> Historical identities remain separate; semantic equivalence and corroboration link them. This preserves independent evidentiary value.</w:t>
      </w:r>
    </w:p>
    <w:p>
      <w:pPr>
        <w:widowControl/>
      </w:pPr>
      <w:r>
        <w:rPr>
          <w:rFonts w:ascii="Calibri" w:hAnsi="Calibri"/>
          <w:b/>
          <w:sz w:val="22"/>
        </w:rPr>
        <w:t>Break point:</w:t>
      </w:r>
      <w:r>
        <w:rPr>
          <w:rFonts w:ascii="Calibri" w:hAnsi="Calibri"/>
          <w:sz w:val="22"/>
        </w:rPr>
        <w:t xml:space="preserve"> Semantic equivalence may be undecidable or context-dependent. Automatic deduplication would be unsafe.</w:t>
      </w:r>
    </w:p>
    <w:p>
      <w:pPr>
        <w:pStyle w:val="Heading2"/>
        <w:widowControl/>
      </w:pPr>
      <w:r>
        <w:rPr>
          <w:rFonts w:ascii="Calibri" w:hAnsi="Calibri"/>
          <w:sz w:val="22"/>
        </w:rPr>
        <w:t>16.8 Two credible contradictions</w:t>
      </w:r>
    </w:p>
    <w:p>
      <w:pPr>
        <w:widowControl/>
      </w:pPr>
      <w:r>
        <w:rPr>
          <w:rFonts w:ascii="Calibri" w:hAnsi="Calibri"/>
          <w:b/>
          <w:sz w:val="22"/>
        </w:rPr>
        <w:t>Example:</w:t>
      </w:r>
      <w:r>
        <w:rPr>
          <w:rFonts w:ascii="Calibri" w:hAnsi="Calibri"/>
          <w:sz w:val="22"/>
        </w:rPr>
        <w:t xml:space="preserve"> Two reliable sources report opposing behavior for the “same” procedure.</w:t>
      </w:r>
    </w:p>
    <w:p>
      <w:pPr>
        <w:widowControl/>
      </w:pPr>
      <w:r>
        <w:rPr>
          <w:rFonts w:ascii="Calibri" w:hAnsi="Calibri"/>
          <w:b/>
          <w:sz w:val="22"/>
        </w:rPr>
        <w:t>Result:</w:t>
      </w:r>
      <w:r>
        <w:rPr>
          <w:rFonts w:ascii="Calibri" w:hAnsi="Calibri"/>
          <w:sz w:val="22"/>
        </w:rPr>
        <w:t xml:space="preserve"> Both remain; the system investigates time, versions, definitions, populations, and contexts. A qualified synthesis may result.</w:t>
      </w:r>
    </w:p>
    <w:p>
      <w:pPr>
        <w:widowControl/>
      </w:pPr>
      <w:r>
        <w:rPr>
          <w:rFonts w:ascii="Calibri" w:hAnsi="Calibri"/>
          <w:b/>
          <w:sz w:val="22"/>
        </w:rPr>
        <w:t>Break point:</w:t>
      </w:r>
      <w:r>
        <w:rPr>
          <w:rFonts w:ascii="Calibri" w:hAnsi="Calibri"/>
          <w:sz w:val="22"/>
        </w:rPr>
        <w:t xml:space="preserve"> The model does not supply an oracle of truth. It improves honest representation of disagreement but may leave action-relevant uncertainty unresolved.</w:t>
      </w:r>
    </w:p>
    <w:p>
      <w:pPr>
        <w:pStyle w:val="Heading2"/>
        <w:widowControl/>
      </w:pPr>
      <w:r>
        <w:rPr>
          <w:rFonts w:ascii="Calibri" w:hAnsi="Calibri"/>
          <w:sz w:val="22"/>
        </w:rPr>
        <w:t>16.9 Useful Rote with unknown provenance</w:t>
      </w:r>
    </w:p>
    <w:p>
      <w:pPr>
        <w:widowControl/>
      </w:pPr>
      <w:r>
        <w:rPr>
          <w:rFonts w:ascii="Calibri" w:hAnsi="Calibri"/>
          <w:b/>
          <w:sz w:val="22"/>
        </w:rPr>
        <w:t>Example:</w:t>
      </w:r>
      <w:r>
        <w:rPr>
          <w:rFonts w:ascii="Calibri" w:hAnsi="Calibri"/>
          <w:sz w:val="22"/>
        </w:rPr>
        <w:t xml:space="preserve"> An unattributed recovery procedure that appears technically coherent.</w:t>
      </w:r>
    </w:p>
    <w:p>
      <w:pPr>
        <w:widowControl/>
      </w:pPr>
      <w:r>
        <w:rPr>
          <w:rFonts w:ascii="Calibri" w:hAnsi="Calibri"/>
          <w:b/>
          <w:sz w:val="22"/>
        </w:rPr>
        <w:t>Result:</w:t>
      </w:r>
      <w:r>
        <w:rPr>
          <w:rFonts w:ascii="Calibri" w:hAnsi="Calibri"/>
          <w:sz w:val="22"/>
        </w:rPr>
        <w:t xml:space="preserve"> It can be possessed, inspected, simulated, and perhaps independently validated. Unknown provenance restricts trust but does not erase usefulness.</w:t>
      </w:r>
    </w:p>
    <w:p>
      <w:pPr>
        <w:widowControl/>
      </w:pPr>
      <w:r>
        <w:rPr>
          <w:rFonts w:ascii="Calibri" w:hAnsi="Calibri"/>
          <w:b/>
          <w:sz w:val="22"/>
        </w:rPr>
        <w:t>Break point:</w:t>
      </w:r>
      <w:r>
        <w:rPr>
          <w:rFonts w:ascii="Calibri" w:hAnsi="Calibri"/>
          <w:sz w:val="22"/>
        </w:rPr>
        <w:t xml:space="preserve"> Plausibility can be weaponized. The receiver needs safe evaluation mechanisms external to Rote semantics.</w:t>
      </w:r>
    </w:p>
    <w:p>
      <w:pPr>
        <w:pStyle w:val="Heading2"/>
        <w:widowControl/>
      </w:pPr>
      <w:r>
        <w:rPr>
          <w:rFonts w:ascii="Calibri" w:hAnsi="Calibri"/>
          <w:sz w:val="22"/>
        </w:rPr>
        <w:t>16.10 Valid in one environment, dangerous in another</w:t>
      </w:r>
    </w:p>
    <w:p>
      <w:pPr>
        <w:widowControl/>
      </w:pPr>
      <w:r>
        <w:rPr>
          <w:rFonts w:ascii="Calibri" w:hAnsi="Calibri"/>
          <w:b/>
          <w:sz w:val="22"/>
        </w:rPr>
        <w:t>Example:</w:t>
      </w:r>
      <w:r>
        <w:rPr>
          <w:rFonts w:ascii="Calibri" w:hAnsi="Calibri"/>
          <w:sz w:val="22"/>
        </w:rPr>
        <w:t xml:space="preserve"> A power-management procedure safe on hardware family A but damaging on family B.</w:t>
      </w:r>
    </w:p>
    <w:p>
      <w:pPr>
        <w:widowControl/>
      </w:pPr>
      <w:r>
        <w:rPr>
          <w:rFonts w:ascii="Calibri" w:hAnsi="Calibri"/>
          <w:b/>
          <w:sz w:val="22"/>
        </w:rPr>
        <w:t>Result:</w:t>
      </w:r>
      <w:r>
        <w:rPr>
          <w:rFonts w:ascii="Calibri" w:hAnsi="Calibri"/>
          <w:sz w:val="22"/>
        </w:rPr>
        <w:t xml:space="preserve"> Applicability and explicit exclusions are universal properties; local preflight should block operational use when matching is absent or ambiguous.</w:t>
      </w:r>
    </w:p>
    <w:p>
      <w:pPr>
        <w:widowControl/>
      </w:pPr>
      <w:r>
        <w:rPr>
          <w:rFonts w:ascii="Calibri" w:hAnsi="Calibri"/>
          <w:b/>
          <w:sz w:val="22"/>
        </w:rPr>
        <w:t>Break point:</w:t>
      </w:r>
      <w:r>
        <w:rPr>
          <w:rFonts w:ascii="Calibri" w:hAnsi="Calibri"/>
          <w:sz w:val="22"/>
        </w:rPr>
        <w:t xml:space="preserve"> Senders cannot anticipate all hazards. Unknown applicability must fail closed for dangerous effects, while informational retention may continue.</w:t>
      </w:r>
    </w:p>
    <w:p>
      <w:pPr>
        <w:pStyle w:val="Heading2"/>
        <w:widowControl/>
      </w:pPr>
      <w:r>
        <w:rPr>
          <w:rFonts w:ascii="Calibri" w:hAnsi="Calibri"/>
          <w:sz w:val="22"/>
        </w:rPr>
        <w:t>16.11 Personal experience with useful and private layers</w:t>
      </w:r>
    </w:p>
    <w:p>
      <w:pPr>
        <w:widowControl/>
      </w:pPr>
      <w:r>
        <w:rPr>
          <w:rFonts w:ascii="Calibri" w:hAnsi="Calibri"/>
          <w:b/>
          <w:sz w:val="22"/>
        </w:rPr>
        <w:t>Example:</w:t>
      </w:r>
      <w:r>
        <w:rPr>
          <w:rFonts w:ascii="Calibri" w:hAnsi="Calibri"/>
          <w:sz w:val="22"/>
        </w:rPr>
        <w:t xml:space="preserve"> A troubleshooting history contains a general failure signature plus home addresses, usernames, tokens, and household routines.</w:t>
      </w:r>
    </w:p>
    <w:p>
      <w:pPr>
        <w:widowControl/>
      </w:pPr>
      <w:r>
        <w:rPr>
          <w:rFonts w:ascii="Calibri" w:hAnsi="Calibri"/>
          <w:b/>
          <w:sz w:val="22"/>
        </w:rPr>
        <w:t>Result:</w:t>
      </w:r>
      <w:r>
        <w:rPr>
          <w:rFonts w:ascii="Calibri" w:hAnsi="Calibri"/>
          <w:sz w:val="22"/>
        </w:rPr>
        <w:t xml:space="preserve"> Transfer preparation derives a new sanitized Rote, retains necessary technical context, declares redaction, and excludes secrets.</w:t>
      </w:r>
    </w:p>
    <w:p>
      <w:pPr>
        <w:widowControl/>
      </w:pPr>
      <w:r>
        <w:rPr>
          <w:rFonts w:ascii="Calibri" w:hAnsi="Calibri"/>
          <w:b/>
          <w:sz w:val="22"/>
        </w:rPr>
        <w:t>Break point:</w:t>
      </w:r>
      <w:r>
        <w:rPr>
          <w:rFonts w:ascii="Calibri" w:hAnsi="Calibri"/>
          <w:sz w:val="22"/>
        </w:rPr>
        <w:t xml:space="preserve"> De-identification is not guaranteed. Rare topology and timing can re-identify the operator; removing them may invalidate the lesson.</w:t>
      </w:r>
    </w:p>
    <w:p>
      <w:pPr>
        <w:pStyle w:val="Heading2"/>
        <w:widowControl/>
      </w:pPr>
      <w:r>
        <w:rPr>
          <w:rFonts w:ascii="Calibri" w:hAnsi="Calibri"/>
          <w:sz w:val="22"/>
        </w:rPr>
        <w:t>16.12 Divergent descendants of a common Rote</w:t>
      </w:r>
    </w:p>
    <w:p>
      <w:pPr>
        <w:widowControl/>
      </w:pPr>
      <w:r>
        <w:rPr>
          <w:rFonts w:ascii="Calibri" w:hAnsi="Calibri"/>
          <w:b/>
          <w:sz w:val="22"/>
        </w:rPr>
        <w:t>Example:</w:t>
      </w:r>
      <w:r>
        <w:rPr>
          <w:rFonts w:ascii="Calibri" w:hAnsi="Calibri"/>
          <w:sz w:val="22"/>
        </w:rPr>
        <w:t xml:space="preserve"> Two instances begin with the same procedure, then customize it and learn different failure conditions.</w:t>
      </w:r>
    </w:p>
    <w:p>
      <w:pPr>
        <w:widowControl/>
      </w:pPr>
      <w:r>
        <w:rPr>
          <w:rFonts w:ascii="Calibri" w:hAnsi="Calibri"/>
          <w:b/>
          <w:sz w:val="22"/>
        </w:rPr>
        <w:t>Result:</w:t>
      </w:r>
      <w:r>
        <w:rPr>
          <w:rFonts w:ascii="Calibri" w:hAnsi="Calibri"/>
          <w:sz w:val="22"/>
        </w:rPr>
        <w:t xml:space="preserve"> Common ancestry, forks, local experiences, and contextual differences are explicit. Neither branch silently overwrites the other; a synthesis is new cognition.</w:t>
      </w:r>
    </w:p>
    <w:p>
      <w:pPr>
        <w:widowControl/>
      </w:pPr>
      <w:r>
        <w:rPr>
          <w:rFonts w:ascii="Calibri" w:hAnsi="Calibri"/>
          <w:b/>
          <w:sz w:val="22"/>
        </w:rPr>
        <w:t>Break point:</w:t>
      </w:r>
      <w:r>
        <w:rPr>
          <w:rFonts w:ascii="Calibri" w:hAnsi="Calibri"/>
          <w:sz w:val="22"/>
        </w:rPr>
        <w:t xml:space="preserve"> Reconciliation may be semantically expensive and irreducibly human. “Merge” is not a generic operation comparable to source-code merging.</w:t>
      </w:r>
    </w:p>
    <w:p>
      <w:pPr>
        <w:pStyle w:val="Heading1"/>
        <w:widowControl/>
      </w:pPr>
      <w:r>
        <w:rPr>
          <w:rFonts w:ascii="Calibri" w:hAnsi="Calibri"/>
          <w:sz w:val="22"/>
        </w:rPr>
        <w:t>17. Failure cases and weaknesses</w:t>
      </w:r>
    </w:p>
    <w:p>
      <w:pPr>
        <w:pStyle w:val="Heading2"/>
        <w:widowControl/>
      </w:pPr>
      <w:r>
        <w:rPr>
          <w:rFonts w:ascii="Calibri" w:hAnsi="Calibri"/>
          <w:sz w:val="22"/>
        </w:rPr>
        <w:t>17.1 The boundary problem</w:t>
      </w:r>
    </w:p>
    <w:p>
      <w:pPr>
        <w:widowControl/>
      </w:pPr>
      <w:r>
        <w:rPr>
          <w:rFonts w:ascii="Calibri" w:hAnsi="Calibri"/>
          <w:sz w:val="22"/>
        </w:rPr>
        <w:t>There is no universally correct granularity. A fact can be too small to carry context; a capability can be too large to inspect coherently. The specification defines boundary requirements but not a universal boundary-selection algorithm.</w:t>
      </w:r>
    </w:p>
    <w:p>
      <w:pPr>
        <w:pStyle w:val="Heading2"/>
        <w:widowControl/>
      </w:pPr>
      <w:r>
        <w:rPr>
          <w:rFonts w:ascii="Calibri" w:hAnsi="Calibri"/>
          <w:sz w:val="22"/>
        </w:rPr>
        <w:t>17.2 Semantic interoperability</w:t>
      </w:r>
    </w:p>
    <w:p>
      <w:pPr>
        <w:widowControl/>
      </w:pPr>
      <w:r>
        <w:rPr>
          <w:rFonts w:ascii="Calibri" w:hAnsi="Calibri"/>
          <w:sz w:val="22"/>
        </w:rPr>
        <w:t>Two compatible systems may parse the same carrier yet conceptualize it differently. Ontology translation can introduce loss or false equivalence. “Compatible AncientOS” therefore cannot mean only format compatibility.</w:t>
      </w:r>
    </w:p>
    <w:p>
      <w:pPr>
        <w:pStyle w:val="Heading2"/>
        <w:widowControl/>
      </w:pPr>
      <w:r>
        <w:rPr>
          <w:rFonts w:ascii="Calibri" w:hAnsi="Calibri"/>
          <w:sz w:val="22"/>
        </w:rPr>
        <w:t>17.3 Tacit and embodied cognition</w:t>
      </w:r>
    </w:p>
    <w:p>
      <w:pPr>
        <w:widowControl/>
      </w:pPr>
      <w:r>
        <w:rPr>
          <w:rFonts w:ascii="Calibri" w:hAnsi="Calibri"/>
          <w:sz w:val="22"/>
        </w:rPr>
        <w:t>Some expertise depends on perception, motor skill, social context, or judgment that cannot be captured fully as explicit procedure. A Rote can represent evidence and approximations, but transfer may not reproduce competence.</w:t>
      </w:r>
    </w:p>
    <w:p>
      <w:pPr>
        <w:pStyle w:val="Heading2"/>
        <w:widowControl/>
      </w:pPr>
      <w:r>
        <w:rPr>
          <w:rFonts w:ascii="Calibri" w:hAnsi="Calibri"/>
          <w:sz w:val="22"/>
        </w:rPr>
        <w:t>17.4 Cognitive malware and persuasion</w:t>
      </w:r>
    </w:p>
    <w:p>
      <w:pPr>
        <w:widowControl/>
      </w:pPr>
      <w:r>
        <w:rPr>
          <w:rFonts w:ascii="Calibri" w:hAnsi="Calibri"/>
          <w:sz w:val="22"/>
        </w:rPr>
        <w:t>Non-executable cognition can still be harmful: false beliefs, manipulative framings, poisoned heuristics, privacy traps, or instructions that induce later unsafe action. Separating execution governance is necessary but insufficient.</w:t>
      </w:r>
    </w:p>
    <w:p>
      <w:pPr>
        <w:pStyle w:val="Heading2"/>
        <w:widowControl/>
      </w:pPr>
      <w:r>
        <w:rPr>
          <w:rFonts w:ascii="Calibri" w:hAnsi="Calibri"/>
          <w:sz w:val="22"/>
        </w:rPr>
        <w:t>17.5 Provenance recursion</w:t>
      </w:r>
    </w:p>
    <w:p>
      <w:pPr>
        <w:widowControl/>
      </w:pPr>
      <w:r>
        <w:rPr>
          <w:rFonts w:ascii="Calibri" w:hAnsi="Calibri"/>
          <w:sz w:val="22"/>
        </w:rPr>
        <w:t>Provenance, trust assessments, equivalence judgments, and redaction records are themselves cognition and may themselves become Rotes. Without practical stopping rules, the model can recurse indefinitely.</w:t>
      </w:r>
    </w:p>
    <w:p>
      <w:pPr>
        <w:pStyle w:val="Heading2"/>
        <w:widowControl/>
      </w:pPr>
      <w:r>
        <w:rPr>
          <w:rFonts w:ascii="Calibri" w:hAnsi="Calibri"/>
          <w:sz w:val="22"/>
        </w:rPr>
        <w:t>17.6 Provenance volume versus usability</w:t>
      </w:r>
    </w:p>
    <w:p>
      <w:pPr>
        <w:widowControl/>
      </w:pPr>
      <w:r>
        <w:rPr>
          <w:rFonts w:ascii="Calibri" w:hAnsi="Calibri"/>
          <w:sz w:val="22"/>
        </w:rPr>
        <w:t>Complete ancestry may be too large; summarized ancestry may omit the very evidence needed to audit a claim. The conceptual model exposes this trade-off but does not solve it.</w:t>
      </w:r>
    </w:p>
    <w:p>
      <w:pPr>
        <w:pStyle w:val="Heading2"/>
        <w:widowControl/>
      </w:pPr>
      <w:r>
        <w:rPr>
          <w:rFonts w:ascii="Calibri" w:hAnsi="Calibri"/>
          <w:sz w:val="22"/>
        </w:rPr>
        <w:t>17.7 Trust bootstrapping and collusion</w:t>
      </w:r>
    </w:p>
    <w:p>
      <w:pPr>
        <w:widowControl/>
      </w:pPr>
      <w:r>
        <w:rPr>
          <w:rFonts w:ascii="Calibri" w:hAnsi="Calibri"/>
          <w:sz w:val="22"/>
        </w:rPr>
        <w:t>Multiple apparently independent Rotes may share a hidden source or coordinated manipulation. Signatures and lineage claims do not guarantee genuine independence.</w:t>
      </w:r>
    </w:p>
    <w:p>
      <w:pPr>
        <w:pStyle w:val="Heading2"/>
        <w:widowControl/>
      </w:pPr>
      <w:r>
        <w:rPr>
          <w:rFonts w:ascii="Calibri" w:hAnsi="Calibri"/>
          <w:sz w:val="22"/>
        </w:rPr>
        <w:t>17.8 Revocation and downstream cognition</w:t>
      </w:r>
    </w:p>
    <w:p>
      <w:pPr>
        <w:widowControl/>
      </w:pPr>
      <w:r>
        <w:rPr>
          <w:rFonts w:ascii="Calibri" w:hAnsi="Calibri"/>
          <w:sz w:val="22"/>
        </w:rPr>
        <w:t>A source can retract a claim or consent, but cognition may already have shaped derivatives. Retraction should propagate as new information, yet complete erasure or “unlearning” may be impossible and can conflict with evidence retention.</w:t>
      </w:r>
    </w:p>
    <w:p>
      <w:pPr>
        <w:pStyle w:val="Heading2"/>
        <w:widowControl/>
      </w:pPr>
      <w:r>
        <w:rPr>
          <w:rFonts w:ascii="Calibri" w:hAnsi="Calibri"/>
          <w:sz w:val="22"/>
        </w:rPr>
        <w:t>17.9 Rights and obligations</w:t>
      </w:r>
    </w:p>
    <w:p>
      <w:pPr>
        <w:widowControl/>
      </w:pPr>
      <w:r>
        <w:rPr>
          <w:rFonts w:ascii="Calibri" w:hAnsi="Calibri"/>
          <w:sz w:val="22"/>
        </w:rPr>
        <w:t>Transferability does not imply a right to transfer. Copyright, confidentiality, consent, license, regulation, and third-party ownership may constrain possession, transformation, or re-sharing. These are not reducible to technical trust.</w:t>
      </w:r>
    </w:p>
    <w:p>
      <w:pPr>
        <w:pStyle w:val="Heading2"/>
        <w:widowControl/>
      </w:pPr>
      <w:r>
        <w:rPr>
          <w:rFonts w:ascii="Calibri" w:hAnsi="Calibri"/>
          <w:sz w:val="22"/>
        </w:rPr>
        <w:t>17.10 Effect reversibility</w:t>
      </w:r>
    </w:p>
    <w:p>
      <w:pPr>
        <w:widowControl/>
      </w:pPr>
      <w:r>
        <w:rPr>
          <w:rFonts w:ascii="Calibri" w:hAnsi="Calibri"/>
          <w:sz w:val="22"/>
        </w:rPr>
        <w:t>Knowledge integration can influence later decisions even after suspension. Executable capability effects may modify external reality. The word “reversible” must be scoped to a specific local effect, not the whole cognitive history.</w:t>
      </w:r>
    </w:p>
    <w:p>
      <w:pPr>
        <w:pStyle w:val="Heading2"/>
        <w:widowControl/>
      </w:pPr>
      <w:r>
        <w:rPr>
          <w:rFonts w:ascii="Calibri" w:hAnsi="Calibri"/>
          <w:sz w:val="22"/>
        </w:rPr>
        <w:t>17.11 Universal abstraction pressure</w:t>
      </w:r>
    </w:p>
    <w:p>
      <w:pPr>
        <w:widowControl/>
      </w:pPr>
      <w:r>
        <w:rPr>
          <w:rFonts w:ascii="Calibri" w:hAnsi="Calibri"/>
          <w:sz w:val="22"/>
        </w:rPr>
        <w:t>The broader Rote becomes, the greater the risk that it means “anything with metadata.” The minimum universal properties and cognition criterion are intended to resist that collapse. If future designs routinely omit intended meaning, epistemic posture, applicability, and integration effects, “Rote” will have lost its architectural value.</w:t>
      </w:r>
    </w:p>
    <w:p>
      <w:pPr>
        <w:pStyle w:val="Heading1"/>
        <w:widowControl/>
      </w:pPr>
      <w:r>
        <w:rPr>
          <w:rFonts w:ascii="Calibri" w:hAnsi="Calibri"/>
          <w:sz w:val="22"/>
        </w:rPr>
        <w:t>18. Decision register</w:t>
      </w:r>
    </w:p>
    <w:p>
      <w:pPr>
        <w:pStyle w:val="Heading2"/>
        <w:widowControl/>
      </w:pPr>
      <w:r>
        <w:rPr>
          <w:rFonts w:ascii="Calibri" w:hAnsi="Calibri"/>
          <w:sz w:val="22"/>
        </w:rPr>
        <w:t>18.1 Principles that appear sufficiently settled</w:t>
      </w:r>
    </w:p>
    <w:p>
      <w:pPr>
        <w:pStyle w:val="ListNumber"/>
        <w:widowControl/>
        <w:numPr>
          <w:ilvl w:val="0"/>
          <w:numId w:val="16"/>
        </w:numPr>
      </w:pPr>
      <w:r>
        <w:rPr>
          <w:rFonts w:ascii="Calibri" w:hAnsi="Calibri"/>
          <w:sz w:val="22"/>
        </w:rPr>
        <w:t>A Rote is a bounded, portable unit of transferable cognition.</w:t>
      </w:r>
    </w:p>
    <w:p>
      <w:pPr>
        <w:pStyle w:val="ListNumber"/>
        <w:widowControl/>
        <w:numPr>
          <w:ilvl w:val="0"/>
          <w:numId w:val="16"/>
        </w:numPr>
      </w:pPr>
      <w:r>
        <w:rPr>
          <w:rFonts w:ascii="Calibri" w:hAnsi="Calibri"/>
          <w:sz w:val="22"/>
        </w:rPr>
        <w:t>Rote is broader than software packaging, documents, prompts, memory, skills, and plugins.</w:t>
      </w:r>
    </w:p>
    <w:p>
      <w:pPr>
        <w:pStyle w:val="ListNumber"/>
        <w:widowControl/>
        <w:numPr>
          <w:ilvl w:val="0"/>
          <w:numId w:val="16"/>
        </w:numPr>
      </w:pPr>
      <w:r>
        <w:rPr>
          <w:rFonts w:ascii="Calibri" w:hAnsi="Calibri"/>
          <w:sz w:val="22"/>
        </w:rPr>
        <w:t>Payload format does not define the abstraction.</w:t>
      </w:r>
    </w:p>
    <w:p>
      <w:pPr>
        <w:pStyle w:val="ListNumber"/>
        <w:widowControl/>
        <w:numPr>
          <w:ilvl w:val="0"/>
          <w:numId w:val="16"/>
        </w:numPr>
      </w:pPr>
      <w:r>
        <w:rPr>
          <w:rFonts w:ascii="Calibri" w:hAnsi="Calibri"/>
          <w:sz w:val="22"/>
        </w:rPr>
        <w:t>Different cognitive kinds do not have identical integration semantics.</w:t>
      </w:r>
    </w:p>
    <w:p>
      <w:pPr>
        <w:pStyle w:val="ListNumber"/>
        <w:widowControl/>
        <w:numPr>
          <w:ilvl w:val="0"/>
          <w:numId w:val="16"/>
        </w:numPr>
      </w:pPr>
      <w:r>
        <w:rPr>
          <w:rFonts w:ascii="Calibri" w:hAnsi="Calibri"/>
          <w:sz w:val="22"/>
        </w:rPr>
        <w:t>Receiving cognition is not authorization to execute or mutate.</w:t>
      </w:r>
    </w:p>
    <w:p>
      <w:pPr>
        <w:pStyle w:val="ListNumber"/>
        <w:widowControl/>
        <w:numPr>
          <w:ilvl w:val="0"/>
          <w:numId w:val="16"/>
        </w:numPr>
      </w:pPr>
      <w:r>
        <w:rPr>
          <w:rFonts w:ascii="Calibri" w:hAnsi="Calibri"/>
          <w:sz w:val="22"/>
        </w:rPr>
        <w:t>AncientOS governance remains canonical, transport-neutral, bounded, evidence-aware, and fail-closed.</w:t>
      </w:r>
    </w:p>
    <w:p>
      <w:pPr>
        <w:pStyle w:val="ListNumber"/>
        <w:widowControl/>
        <w:numPr>
          <w:ilvl w:val="0"/>
          <w:numId w:val="16"/>
        </w:numPr>
      </w:pPr>
      <w:r>
        <w:rPr>
          <w:rFonts w:ascii="Calibri" w:hAnsi="Calibri"/>
          <w:sz w:val="22"/>
        </w:rPr>
        <w:t>Product/architecture intent must remain distinct from repository/runtime truth.</w:t>
      </w:r>
    </w:p>
    <w:p>
      <w:pPr>
        <w:pStyle w:val="ListNumber"/>
        <w:widowControl/>
        <w:numPr>
          <w:ilvl w:val="0"/>
          <w:numId w:val="16"/>
        </w:numPr>
      </w:pPr>
      <w:r>
        <w:rPr>
          <w:rFonts w:ascii="Calibri" w:hAnsi="Calibri"/>
          <w:sz w:val="22"/>
        </w:rPr>
        <w:t>Provenance, relationships, applicability, experience, and confidence are part of the long-term cognition direction.</w:t>
      </w:r>
    </w:p>
    <w:p>
      <w:pPr>
        <w:pStyle w:val="ListNumber"/>
        <w:widowControl/>
        <w:numPr>
          <w:ilvl w:val="0"/>
          <w:numId w:val="16"/>
        </w:numPr>
      </w:pPr>
      <w:r>
        <w:rPr>
          <w:rFonts w:ascii="Calibri" w:hAnsi="Calibri"/>
          <w:sz w:val="22"/>
        </w:rPr>
        <w:t>Peer exchange must not imply automatic trust, integration, installation, activation, or authority.</w:t>
      </w:r>
    </w:p>
    <w:p>
      <w:pPr>
        <w:pStyle w:val="Heading2"/>
        <w:widowControl/>
      </w:pPr>
      <w:r>
        <w:rPr>
          <w:rFonts w:ascii="Calibri" w:hAnsi="Calibri"/>
          <w:sz w:val="22"/>
        </w:rPr>
        <w:t>18.2 Proposed concepts worth adopting</w:t>
      </w:r>
    </w:p>
    <w:p>
      <w:pPr>
        <w:pStyle w:val="ListNumber"/>
        <w:widowControl/>
        <w:numPr>
          <w:ilvl w:val="0"/>
          <w:numId w:val="17"/>
        </w:numPr>
      </w:pPr>
      <w:r>
        <w:rPr>
          <w:rFonts w:ascii="Calibri" w:hAnsi="Calibri"/>
          <w:sz w:val="22"/>
        </w:rPr>
        <w:t>The formal definition in section 2.1.</w:t>
      </w:r>
    </w:p>
    <w:p>
      <w:pPr>
        <w:pStyle w:val="ListNumber"/>
        <w:widowControl/>
        <w:numPr>
          <w:ilvl w:val="0"/>
          <w:numId w:val="17"/>
        </w:numPr>
      </w:pPr>
      <w:r>
        <w:rPr>
          <w:rFonts w:ascii="Calibri" w:hAnsi="Calibri"/>
          <w:sz w:val="22"/>
        </w:rPr>
        <w:t>The separation of cognitive content, Rote envelope, and carrier.</w:t>
      </w:r>
    </w:p>
    <w:p>
      <w:pPr>
        <w:pStyle w:val="ListNumber"/>
        <w:widowControl/>
        <w:numPr>
          <w:ilvl w:val="0"/>
          <w:numId w:val="17"/>
        </w:numPr>
      </w:pPr>
      <w:r>
        <w:rPr>
          <w:rFonts w:ascii="Calibri" w:hAnsi="Calibri"/>
          <w:sz w:val="22"/>
        </w:rPr>
        <w:t>Semantic closure versus material closure.</w:t>
      </w:r>
    </w:p>
    <w:p>
      <w:pPr>
        <w:pStyle w:val="ListNumber"/>
        <w:widowControl/>
        <w:numPr>
          <w:ilvl w:val="0"/>
          <w:numId w:val="17"/>
        </w:numPr>
      </w:pPr>
      <w:r>
        <w:rPr>
          <w:rFonts w:ascii="Calibri" w:hAnsi="Calibri"/>
          <w:sz w:val="22"/>
        </w:rPr>
        <w:t>Minimum universal properties: boundary, kind, meaning, epistemic posture, provenance posture, applicability, relationships, possible effects, integrity, and claim authorship.</w:t>
      </w:r>
    </w:p>
    <w:p>
      <w:pPr>
        <w:pStyle w:val="ListNumber"/>
        <w:widowControl/>
        <w:numPr>
          <w:ilvl w:val="0"/>
          <w:numId w:val="17"/>
        </w:numPr>
      </w:pPr>
      <w:r>
        <w:rPr>
          <w:rFonts w:ascii="Calibri" w:hAnsi="Calibri"/>
          <w:sz w:val="22"/>
        </w:rPr>
        <w:t>Independent local assessment dimensions rather than one linear lifecycle.</w:t>
      </w:r>
    </w:p>
    <w:p>
      <w:pPr>
        <w:pStyle w:val="ListNumber"/>
        <w:widowControl/>
        <w:numPr>
          <w:ilvl w:val="0"/>
          <w:numId w:val="17"/>
        </w:numPr>
      </w:pPr>
      <w:r>
        <w:rPr>
          <w:rFonts w:ascii="Calibri" w:hAnsi="Calibri"/>
          <w:sz w:val="22"/>
        </w:rPr>
        <w:t>Four identity layers: artifact, historical, semantic, and local-record identity.</w:t>
      </w:r>
    </w:p>
    <w:p>
      <w:pPr>
        <w:pStyle w:val="ListNumber"/>
        <w:widowControl/>
        <w:numPr>
          <w:ilvl w:val="0"/>
          <w:numId w:val="17"/>
        </w:numPr>
      </w:pPr>
      <w:r>
        <w:rPr>
          <w:rFonts w:ascii="Calibri" w:hAnsi="Calibri"/>
          <w:sz w:val="22"/>
        </w:rPr>
        <w:t>Equivalence as a scoped, provenance-bearing relationship rather than automatic identity or deduplication.</w:t>
      </w:r>
    </w:p>
    <w:p>
      <w:pPr>
        <w:pStyle w:val="ListNumber"/>
        <w:widowControl/>
        <w:numPr>
          <w:ilvl w:val="0"/>
          <w:numId w:val="17"/>
        </w:numPr>
      </w:pPr>
      <w:r>
        <w:rPr>
          <w:rFonts w:ascii="Calibri" w:hAnsi="Calibri"/>
          <w:sz w:val="22"/>
        </w:rPr>
        <w:t>Immutable published attestations with evolving lineage and mutable local assessments.</w:t>
      </w:r>
    </w:p>
    <w:p>
      <w:pPr>
        <w:pStyle w:val="ListNumber"/>
        <w:widowControl/>
        <w:numPr>
          <w:ilvl w:val="0"/>
          <w:numId w:val="17"/>
        </w:numPr>
      </w:pPr>
      <w:r>
        <w:rPr>
          <w:rFonts w:ascii="Calibri" w:hAnsi="Calibri"/>
          <w:sz w:val="22"/>
        </w:rPr>
        <w:t>First-class, typed cognitive relationships.</w:t>
      </w:r>
    </w:p>
    <w:p>
      <w:pPr>
        <w:pStyle w:val="ListNumber"/>
        <w:widowControl/>
        <w:numPr>
          <w:ilvl w:val="0"/>
          <w:numId w:val="17"/>
        </w:numPr>
      </w:pPr>
      <w:r>
        <w:rPr>
          <w:rFonts w:ascii="Calibri" w:hAnsi="Calibri"/>
          <w:sz w:val="22"/>
        </w:rPr>
        <w:t>Layered provenance: origin, evidence, transformation, custody, and assessment.</w:t>
      </w:r>
    </w:p>
    <w:p>
      <w:pPr>
        <w:pStyle w:val="ListNumber"/>
        <w:widowControl/>
        <w:numPr>
          <w:ilvl w:val="0"/>
          <w:numId w:val="17"/>
        </w:numPr>
      </w:pPr>
      <w:r>
        <w:rPr>
          <w:rFonts w:ascii="Calibri" w:hAnsi="Calibri"/>
          <w:sz w:val="22"/>
        </w:rPr>
        <w:t>Local, use-specific trust separated from provenance and truth.</w:t>
      </w:r>
    </w:p>
    <w:p>
      <w:pPr>
        <w:pStyle w:val="ListNumber"/>
        <w:widowControl/>
        <w:numPr>
          <w:ilvl w:val="0"/>
          <w:numId w:val="17"/>
        </w:numPr>
      </w:pPr>
      <w:r>
        <w:rPr>
          <w:rFonts w:ascii="Calibri" w:hAnsi="Calibri"/>
          <w:sz w:val="22"/>
        </w:rPr>
        <w:t>Integration as a family of local cognitive and operational effects.</w:t>
      </w:r>
    </w:p>
    <w:p>
      <w:pPr>
        <w:pStyle w:val="ListNumber"/>
        <w:widowControl/>
        <w:numPr>
          <w:ilvl w:val="0"/>
          <w:numId w:val="17"/>
        </w:numPr>
      </w:pPr>
      <w:r>
        <w:rPr>
          <w:rFonts w:ascii="Calibri" w:hAnsi="Calibri"/>
          <w:sz w:val="22"/>
        </w:rPr>
        <w:t>Experience episodes separated from lessons and generalizations.</w:t>
      </w:r>
    </w:p>
    <w:p>
      <w:pPr>
        <w:pStyle w:val="ListNumber"/>
        <w:widowControl/>
        <w:numPr>
          <w:ilvl w:val="0"/>
          <w:numId w:val="17"/>
        </w:numPr>
      </w:pPr>
      <w:r>
        <w:rPr>
          <w:rFonts w:ascii="Calibri" w:hAnsi="Calibri"/>
          <w:sz w:val="22"/>
        </w:rPr>
        <w:t>Privacy-preserving advertisements and selective comparison.</w:t>
      </w:r>
    </w:p>
    <w:p>
      <w:pPr>
        <w:pStyle w:val="ListNumber"/>
        <w:widowControl/>
        <w:numPr>
          <w:ilvl w:val="0"/>
          <w:numId w:val="17"/>
        </w:numPr>
      </w:pPr>
      <w:r>
        <w:rPr>
          <w:rFonts w:ascii="Calibri" w:hAnsi="Calibri"/>
          <w:sz w:val="22"/>
        </w:rPr>
        <w:t>Transfer preparation as derivation, with declared redaction and loss.</w:t>
      </w:r>
    </w:p>
    <w:p>
      <w:pPr>
        <w:pStyle w:val="Heading2"/>
        <w:widowControl/>
      </w:pPr>
      <w:r>
        <w:rPr>
          <w:rFonts w:ascii="Calibri" w:hAnsi="Calibri"/>
          <w:sz w:val="22"/>
        </w:rPr>
        <w:t>18.3 Decisions requiring operator input</w:t>
      </w:r>
    </w:p>
    <w:p>
      <w:pPr>
        <w:pStyle w:val="ListNumber"/>
        <w:widowControl/>
        <w:numPr>
          <w:ilvl w:val="0"/>
          <w:numId w:val="18"/>
        </w:numPr>
      </w:pPr>
      <w:r>
        <w:rPr>
          <w:rFonts w:ascii="Calibri" w:hAnsi="Calibri"/>
          <w:sz w:val="22"/>
        </w:rPr>
        <w:t>Adopt, revise, or reject the proposed formal definition.</w:t>
      </w:r>
    </w:p>
    <w:p>
      <w:pPr>
        <w:pStyle w:val="ListNumber"/>
        <w:widowControl/>
        <w:numPr>
          <w:ilvl w:val="0"/>
          <w:numId w:val="18"/>
        </w:numPr>
      </w:pPr>
      <w:r>
        <w:rPr>
          <w:rFonts w:ascii="Calibri" w:hAnsi="Calibri"/>
          <w:sz w:val="22"/>
        </w:rPr>
        <w:t>Decide whether immutable published Rotes with lineage should be a conceptual invariant.</w:t>
      </w:r>
    </w:p>
    <w:p>
      <w:pPr>
        <w:pStyle w:val="ListNumber"/>
        <w:widowControl/>
        <w:numPr>
          <w:ilvl w:val="0"/>
          <w:numId w:val="18"/>
        </w:numPr>
      </w:pPr>
      <w:r>
        <w:rPr>
          <w:rFonts w:ascii="Calibri" w:hAnsi="Calibri"/>
          <w:sz w:val="22"/>
        </w:rPr>
        <w:t>Decide whether relationships can themselves be full Rotes or require a lighter assertion form.</w:t>
      </w:r>
    </w:p>
    <w:p>
      <w:pPr>
        <w:pStyle w:val="ListNumber"/>
        <w:widowControl/>
        <w:numPr>
          <w:ilvl w:val="0"/>
          <w:numId w:val="18"/>
        </w:numPr>
      </w:pPr>
      <w:r>
        <w:rPr>
          <w:rFonts w:ascii="Calibri" w:hAnsi="Calibri"/>
          <w:sz w:val="22"/>
        </w:rPr>
        <w:t>Decide whether AncientOS should recognize canonical concept identities above individual Rotes.</w:t>
      </w:r>
    </w:p>
    <w:p>
      <w:pPr>
        <w:pStyle w:val="ListNumber"/>
        <w:widowControl/>
        <w:numPr>
          <w:ilvl w:val="0"/>
          <w:numId w:val="18"/>
        </w:numPr>
      </w:pPr>
      <w:r>
        <w:rPr>
          <w:rFonts w:ascii="Calibri" w:hAnsi="Calibri"/>
          <w:sz w:val="22"/>
        </w:rPr>
        <w:t>Decide the default governance posture for integrating informational cognition into canonical local knowledge versus retaining it in quarantine.</w:t>
      </w:r>
    </w:p>
    <w:p>
      <w:pPr>
        <w:pStyle w:val="ListNumber"/>
        <w:widowControl/>
        <w:numPr>
          <w:ilvl w:val="0"/>
          <w:numId w:val="18"/>
        </w:numPr>
      </w:pPr>
      <w:r>
        <w:rPr>
          <w:rFonts w:ascii="Calibri" w:hAnsi="Calibri"/>
          <w:sz w:val="22"/>
        </w:rPr>
        <w:t>Decide how much operator control is required for peer advertisements and comparison, not merely payload transfer.</w:t>
      </w:r>
    </w:p>
    <w:p>
      <w:pPr>
        <w:pStyle w:val="ListNumber"/>
        <w:widowControl/>
        <w:numPr>
          <w:ilvl w:val="0"/>
          <w:numId w:val="18"/>
        </w:numPr>
      </w:pPr>
      <w:r>
        <w:rPr>
          <w:rFonts w:ascii="Calibri" w:hAnsi="Calibri"/>
          <w:sz w:val="22"/>
        </w:rPr>
        <w:t>Decide whether “Rote” includes opaque but useful cognition that no receiving system can meaningfully explain, and what minimum degree of understanding is required.</w:t>
      </w:r>
    </w:p>
    <w:p>
      <w:pPr>
        <w:pStyle w:val="ListNumber"/>
        <w:widowControl/>
        <w:numPr>
          <w:ilvl w:val="0"/>
          <w:numId w:val="18"/>
        </w:numPr>
      </w:pPr>
      <w:r>
        <w:rPr>
          <w:rFonts w:ascii="Calibri" w:hAnsi="Calibri"/>
          <w:sz w:val="22"/>
        </w:rPr>
        <w:t>Decide whether normative cognition—operator preferences, policies, values, and prohibitions—is in scope and under what consent rules.</w:t>
      </w:r>
    </w:p>
    <w:p>
      <w:pPr>
        <w:pStyle w:val="ListNumber"/>
        <w:widowControl/>
        <w:numPr>
          <w:ilvl w:val="0"/>
          <w:numId w:val="18"/>
        </w:numPr>
      </w:pPr>
      <w:r>
        <w:rPr>
          <w:rFonts w:ascii="Calibri" w:hAnsi="Calibri"/>
          <w:sz w:val="22"/>
        </w:rPr>
        <w:t>Decide what rights or expectations a source may attach to re-sharing, retraction, attribution, or local derivation.</w:t>
      </w:r>
    </w:p>
    <w:p>
      <w:pPr>
        <w:pStyle w:val="Heading2"/>
        <w:widowControl/>
      </w:pPr>
      <w:r>
        <w:rPr>
          <w:rFonts w:ascii="Calibri" w:hAnsi="Calibri"/>
          <w:sz w:val="22"/>
        </w:rPr>
        <w:t>18.4 Unresolved architectural questions</w:t>
      </w:r>
    </w:p>
    <w:p>
      <w:pPr>
        <w:pStyle w:val="ListNumber"/>
        <w:widowControl/>
        <w:numPr>
          <w:ilvl w:val="0"/>
          <w:numId w:val="19"/>
        </w:numPr>
      </w:pPr>
      <w:r>
        <w:rPr>
          <w:rFonts w:ascii="Calibri" w:hAnsi="Calibri"/>
          <w:sz w:val="22"/>
        </w:rPr>
        <w:t>What constitutes sufficient semantic closure for each cognitive kind?</w:t>
      </w:r>
    </w:p>
    <w:p>
      <w:pPr>
        <w:pStyle w:val="ListNumber"/>
        <w:widowControl/>
        <w:numPr>
          <w:ilvl w:val="0"/>
          <w:numId w:val="19"/>
        </w:numPr>
      </w:pPr>
      <w:r>
        <w:rPr>
          <w:rFonts w:ascii="Calibri" w:hAnsi="Calibri"/>
          <w:sz w:val="22"/>
        </w:rPr>
        <w:t>How should Rote granularity be selected without producing cognitive debris or opaque monoliths?</w:t>
      </w:r>
    </w:p>
    <w:p>
      <w:pPr>
        <w:pStyle w:val="ListNumber"/>
        <w:widowControl/>
        <w:numPr>
          <w:ilvl w:val="0"/>
          <w:numId w:val="19"/>
        </w:numPr>
      </w:pPr>
      <w:r>
        <w:rPr>
          <w:rFonts w:ascii="Calibri" w:hAnsi="Calibri"/>
          <w:sz w:val="22"/>
        </w:rPr>
        <w:t>What compatibility means beyond carrier parsing: shared ontology, translation ability, effect interpretation, or something else?</w:t>
      </w:r>
    </w:p>
    <w:p>
      <w:pPr>
        <w:pStyle w:val="ListNumber"/>
        <w:widowControl/>
        <w:numPr>
          <w:ilvl w:val="0"/>
          <w:numId w:val="19"/>
        </w:numPr>
      </w:pPr>
      <w:r>
        <w:rPr>
          <w:rFonts w:ascii="Calibri" w:hAnsi="Calibri"/>
          <w:sz w:val="22"/>
        </w:rPr>
        <w:t>How equivalence and contradiction judgments are represented when assessors disagree.</w:t>
      </w:r>
    </w:p>
    <w:p>
      <w:pPr>
        <w:pStyle w:val="ListNumber"/>
        <w:widowControl/>
        <w:numPr>
          <w:ilvl w:val="0"/>
          <w:numId w:val="19"/>
        </w:numPr>
      </w:pPr>
      <w:r>
        <w:rPr>
          <w:rFonts w:ascii="Calibri" w:hAnsi="Calibri"/>
          <w:sz w:val="22"/>
        </w:rPr>
        <w:t>How provenance can be summarized without losing auditability.</w:t>
      </w:r>
    </w:p>
    <w:p>
      <w:pPr>
        <w:pStyle w:val="ListNumber"/>
        <w:widowControl/>
        <w:numPr>
          <w:ilvl w:val="0"/>
          <w:numId w:val="19"/>
        </w:numPr>
      </w:pPr>
      <w:r>
        <w:rPr>
          <w:rFonts w:ascii="Calibri" w:hAnsi="Calibri"/>
          <w:sz w:val="22"/>
        </w:rPr>
        <w:t>How trust propagates—or deliberately does not propagate—through derivation and composition.</w:t>
      </w:r>
    </w:p>
    <w:p>
      <w:pPr>
        <w:pStyle w:val="ListNumber"/>
        <w:widowControl/>
        <w:numPr>
          <w:ilvl w:val="0"/>
          <w:numId w:val="19"/>
        </w:numPr>
      </w:pPr>
      <w:r>
        <w:rPr>
          <w:rFonts w:ascii="Calibri" w:hAnsi="Calibri"/>
          <w:sz w:val="22"/>
        </w:rPr>
        <w:t>How retraction, consent withdrawal, changed law, and discovered compromise affect downstream derivatives.</w:t>
      </w:r>
    </w:p>
    <w:p>
      <w:pPr>
        <w:pStyle w:val="ListNumber"/>
        <w:widowControl/>
        <w:numPr>
          <w:ilvl w:val="0"/>
          <w:numId w:val="19"/>
        </w:numPr>
      </w:pPr>
      <w:r>
        <w:rPr>
          <w:rFonts w:ascii="Calibri" w:hAnsi="Calibri"/>
          <w:sz w:val="22"/>
        </w:rPr>
        <w:t>How to represent applicability whose decisive variables are not yet known.</w:t>
      </w:r>
    </w:p>
    <w:p>
      <w:pPr>
        <w:pStyle w:val="ListNumber"/>
        <w:widowControl/>
        <w:numPr>
          <w:ilvl w:val="0"/>
          <w:numId w:val="19"/>
        </w:numPr>
      </w:pPr>
      <w:r>
        <w:rPr>
          <w:rFonts w:ascii="Calibri" w:hAnsi="Calibri"/>
          <w:sz w:val="22"/>
        </w:rPr>
        <w:t>How to handle tacit cognition and capabilities whose behavior cannot be adequately explained.</w:t>
      </w:r>
    </w:p>
    <w:p>
      <w:pPr>
        <w:pStyle w:val="ListNumber"/>
        <w:widowControl/>
        <w:numPr>
          <w:ilvl w:val="0"/>
          <w:numId w:val="19"/>
        </w:numPr>
      </w:pPr>
      <w:r>
        <w:rPr>
          <w:rFonts w:ascii="Calibri" w:hAnsi="Calibri"/>
          <w:sz w:val="22"/>
        </w:rPr>
        <w:t>How peer instances prove or estimate that independently derived cognition is genuinely independent.</w:t>
      </w:r>
    </w:p>
    <w:p>
      <w:pPr>
        <w:pStyle w:val="ListNumber"/>
        <w:widowControl/>
        <w:numPr>
          <w:ilvl w:val="0"/>
          <w:numId w:val="19"/>
        </w:numPr>
      </w:pPr>
      <w:r>
        <w:rPr>
          <w:rFonts w:ascii="Calibri" w:hAnsi="Calibri"/>
          <w:sz w:val="22"/>
        </w:rPr>
        <w:t>When a local event, memory, assessment, relationship, or bundle becomes a Rote rather than remaining internal cognition.</w:t>
      </w:r>
    </w:p>
    <w:p>
      <w:pPr>
        <w:pStyle w:val="ListNumber"/>
        <w:widowControl/>
        <w:numPr>
          <w:ilvl w:val="0"/>
          <w:numId w:val="19"/>
        </w:numPr>
      </w:pPr>
      <w:r>
        <w:rPr>
          <w:rFonts w:ascii="Calibri" w:hAnsi="Calibri"/>
          <w:sz w:val="22"/>
        </w:rPr>
        <w:t>Whether Rotes may be dynamically generated views over local cognition or must always be durable attestations once offered.</w:t>
      </w:r>
    </w:p>
    <w:p>
      <w:pPr>
        <w:pStyle w:val="Heading2"/>
        <w:widowControl/>
      </w:pPr>
      <w:r>
        <w:rPr>
          <w:rFonts w:ascii="Calibri" w:hAnsi="Calibri"/>
          <w:sz w:val="22"/>
        </w:rPr>
        <w:t>18.5 Implementation questions deliberately deferred</w:t>
      </w:r>
    </w:p>
    <w:p>
      <w:pPr>
        <w:pStyle w:val="ListNumber"/>
        <w:widowControl/>
        <w:numPr>
          <w:ilvl w:val="0"/>
          <w:numId w:val="20"/>
        </w:numPr>
      </w:pPr>
      <w:r>
        <w:rPr>
          <w:rFonts w:ascii="Calibri" w:hAnsi="Calibri"/>
          <w:sz w:val="22"/>
        </w:rPr>
        <w:t>Current repository classes, services, schemas, storage substrates, and capability boundaries relevant to Rotes.</w:t>
      </w:r>
    </w:p>
    <w:p>
      <w:pPr>
        <w:pStyle w:val="ListNumber"/>
        <w:widowControl/>
        <w:numPr>
          <w:ilvl w:val="0"/>
          <w:numId w:val="20"/>
        </w:numPr>
      </w:pPr>
      <w:r>
        <w:rPr>
          <w:rFonts w:ascii="Calibri" w:hAnsi="Calibri"/>
          <w:sz w:val="22"/>
        </w:rPr>
        <w:t>Representation and serialization formats.</w:t>
      </w:r>
    </w:p>
    <w:p>
      <w:pPr>
        <w:pStyle w:val="ListNumber"/>
        <w:widowControl/>
        <w:numPr>
          <w:ilvl w:val="0"/>
          <w:numId w:val="20"/>
        </w:numPr>
      </w:pPr>
      <w:r>
        <w:rPr>
          <w:rFonts w:ascii="Calibri" w:hAnsi="Calibri"/>
          <w:sz w:val="22"/>
        </w:rPr>
        <w:t>Identity, integrity, signature, and content-addressing mechanisms.</w:t>
      </w:r>
    </w:p>
    <w:p>
      <w:pPr>
        <w:pStyle w:val="ListNumber"/>
        <w:widowControl/>
        <w:numPr>
          <w:ilvl w:val="0"/>
          <w:numId w:val="20"/>
        </w:numPr>
      </w:pPr>
      <w:r>
        <w:rPr>
          <w:rFonts w:ascii="Calibri" w:hAnsi="Calibri"/>
          <w:sz w:val="22"/>
        </w:rPr>
        <w:t>Ontology and semantic-mapping technology.</w:t>
      </w:r>
    </w:p>
    <w:p>
      <w:pPr>
        <w:pStyle w:val="ListNumber"/>
        <w:widowControl/>
        <w:numPr>
          <w:ilvl w:val="0"/>
          <w:numId w:val="20"/>
        </w:numPr>
      </w:pPr>
      <w:r>
        <w:rPr>
          <w:rFonts w:ascii="Calibri" w:hAnsi="Calibri"/>
          <w:sz w:val="22"/>
        </w:rPr>
        <w:t>Storage, indexing, retrieval, versioning, and garbage collection.</w:t>
      </w:r>
    </w:p>
    <w:p>
      <w:pPr>
        <w:pStyle w:val="ListNumber"/>
        <w:widowControl/>
        <w:numPr>
          <w:ilvl w:val="0"/>
          <w:numId w:val="20"/>
        </w:numPr>
      </w:pPr>
      <w:r>
        <w:rPr>
          <w:rFonts w:ascii="Calibri" w:hAnsi="Calibri"/>
          <w:sz w:val="22"/>
        </w:rPr>
        <w:t>Network discovery, negotiation, transport, and synchronization protocols.</w:t>
      </w:r>
    </w:p>
    <w:p>
      <w:pPr>
        <w:pStyle w:val="ListNumber"/>
        <w:widowControl/>
        <w:numPr>
          <w:ilvl w:val="0"/>
          <w:numId w:val="20"/>
        </w:numPr>
      </w:pPr>
      <w:r>
        <w:rPr>
          <w:rFonts w:ascii="Calibri" w:hAnsi="Calibri"/>
          <w:sz w:val="22"/>
        </w:rPr>
        <w:t>Privacy-preserving comparison techniques.</w:t>
      </w:r>
    </w:p>
    <w:p>
      <w:pPr>
        <w:pStyle w:val="ListNumber"/>
        <w:widowControl/>
        <w:numPr>
          <w:ilvl w:val="0"/>
          <w:numId w:val="20"/>
        </w:numPr>
      </w:pPr>
      <w:r>
        <w:rPr>
          <w:rFonts w:ascii="Calibri" w:hAnsi="Calibri"/>
          <w:sz w:val="22"/>
        </w:rPr>
        <w:t>Exact Lich action types, approval bindings, and UI surfaces.</w:t>
      </w:r>
    </w:p>
    <w:p>
      <w:pPr>
        <w:pStyle w:val="ListNumber"/>
        <w:widowControl/>
        <w:numPr>
          <w:ilvl w:val="0"/>
          <w:numId w:val="20"/>
        </w:numPr>
      </w:pPr>
      <w:r>
        <w:rPr>
          <w:rFonts w:ascii="Calibri" w:hAnsi="Calibri"/>
          <w:sz w:val="22"/>
        </w:rPr>
        <w:t>Rubick, LifeVault, Zeus, Oracle, Luna, and Operational Router integration points.</w:t>
      </w:r>
    </w:p>
    <w:p>
      <w:pPr>
        <w:pStyle w:val="ListNumber"/>
        <w:widowControl/>
        <w:numPr>
          <w:ilvl w:val="0"/>
          <w:numId w:val="20"/>
        </w:numPr>
      </w:pPr>
      <w:r>
        <w:rPr>
          <w:rFonts w:ascii="Calibri" w:hAnsi="Calibri"/>
          <w:sz w:val="22"/>
        </w:rPr>
        <w:t>Sandboxing, dependency resolution, code verification, and capability activation mechanisms.</w:t>
      </w:r>
    </w:p>
    <w:p>
      <w:pPr>
        <w:pStyle w:val="ListNumber"/>
        <w:widowControl/>
        <w:numPr>
          <w:ilvl w:val="0"/>
          <w:numId w:val="20"/>
        </w:numPr>
      </w:pPr>
      <w:r>
        <w:rPr>
          <w:rFonts w:ascii="Calibri" w:hAnsi="Calibri"/>
          <w:sz w:val="22"/>
        </w:rPr>
        <w:t>Test strategy, migration strategy, deployment state, and current implementation readiness.</w:t>
      </w:r>
    </w:p>
    <w:p>
      <w:pPr>
        <w:pStyle w:val="Heading2"/>
        <w:widowControl/>
      </w:pPr>
      <w:r>
        <w:rPr>
          <w:rFonts w:ascii="Calibri" w:hAnsi="Calibri"/>
          <w:sz w:val="22"/>
        </w:rPr>
        <w:t>18.6 Contradictions or weaknesses discovered</w:t>
      </w:r>
    </w:p>
    <w:p>
      <w:pPr>
        <w:pStyle w:val="ListNumber"/>
        <w:widowControl/>
        <w:numPr>
          <w:ilvl w:val="0"/>
          <w:numId w:val="21"/>
        </w:numPr>
      </w:pPr>
      <w:r>
        <w:rPr>
          <w:rFonts w:ascii="Calibri" w:hAnsi="Calibri"/>
          <w:sz w:val="22"/>
        </w:rPr>
        <w:t>“Universal” and “sufficiently understandable” pull against each other: richer future cognition may be transferable but opaque.</w:t>
      </w:r>
    </w:p>
    <w:p>
      <w:pPr>
        <w:pStyle w:val="ListNumber"/>
        <w:widowControl/>
        <w:numPr>
          <w:ilvl w:val="0"/>
          <w:numId w:val="21"/>
        </w:numPr>
      </w:pPr>
      <w:r>
        <w:rPr>
          <w:rFonts w:ascii="Calibri" w:hAnsi="Calibri"/>
          <w:sz w:val="22"/>
        </w:rPr>
        <w:t>“Bounded” and “context-rich” pull against each other: strong context increases size and privacy exposure.</w:t>
      </w:r>
    </w:p>
    <w:p>
      <w:pPr>
        <w:pStyle w:val="ListNumber"/>
        <w:widowControl/>
        <w:numPr>
          <w:ilvl w:val="0"/>
          <w:numId w:val="21"/>
        </w:numPr>
      </w:pPr>
      <w:r>
        <w:rPr>
          <w:rFonts w:ascii="Calibri" w:hAnsi="Calibri"/>
          <w:sz w:val="22"/>
        </w:rPr>
        <w:t>Privacy minimization and provenance completeness can directly conflict.</w:t>
      </w:r>
    </w:p>
    <w:p>
      <w:pPr>
        <w:pStyle w:val="ListNumber"/>
        <w:widowControl/>
        <w:numPr>
          <w:ilvl w:val="0"/>
          <w:numId w:val="21"/>
        </w:numPr>
      </w:pPr>
      <w:r>
        <w:rPr>
          <w:rFonts w:ascii="Calibri" w:hAnsi="Calibri"/>
          <w:sz w:val="22"/>
        </w:rPr>
        <w:t>Immutable attestations protect auditability but complicate correction, consent withdrawal, and storage growth.</w:t>
      </w:r>
    </w:p>
    <w:p>
      <w:pPr>
        <w:pStyle w:val="ListNumber"/>
        <w:widowControl/>
        <w:numPr>
          <w:ilvl w:val="0"/>
          <w:numId w:val="21"/>
        </w:numPr>
      </w:pPr>
      <w:r>
        <w:rPr>
          <w:rFonts w:ascii="Calibri" w:hAnsi="Calibri"/>
          <w:sz w:val="22"/>
        </w:rPr>
        <w:t>Independent equivalence preserves evidence but resists simple deduplication.</w:t>
      </w:r>
    </w:p>
    <w:p>
      <w:pPr>
        <w:pStyle w:val="ListNumber"/>
        <w:widowControl/>
        <w:numPr>
          <w:ilvl w:val="0"/>
          <w:numId w:val="21"/>
        </w:numPr>
      </w:pPr>
      <w:r>
        <w:rPr>
          <w:rFonts w:ascii="Calibri" w:hAnsi="Calibri"/>
          <w:sz w:val="22"/>
        </w:rPr>
        <w:t>Safe informational integration is not risk-free; cognition can be harmful without executable content.</w:t>
      </w:r>
    </w:p>
    <w:p>
      <w:pPr>
        <w:pStyle w:val="ListNumber"/>
        <w:widowControl/>
        <w:numPr>
          <w:ilvl w:val="0"/>
          <w:numId w:val="21"/>
        </w:numPr>
      </w:pPr>
      <w:r>
        <w:rPr>
          <w:rFonts w:ascii="Calibri" w:hAnsi="Calibri"/>
          <w:sz w:val="22"/>
        </w:rPr>
        <w:t>A universal integration vocabulary may still be too coarse for future cognitive kinds.</w:t>
      </w:r>
    </w:p>
    <w:p>
      <w:pPr>
        <w:pStyle w:val="ListNumber"/>
        <w:widowControl/>
        <w:numPr>
          <w:ilvl w:val="0"/>
          <w:numId w:val="21"/>
        </w:numPr>
      </w:pPr>
      <w:r>
        <w:rPr>
          <w:rFonts w:ascii="Calibri" w:hAnsi="Calibri"/>
          <w:sz w:val="22"/>
        </w:rPr>
        <w:t>The abstraction cannot itself establish truth, semantic equivalence, safety, legal transfer rights, or genuine independence of sources.</w:t>
      </w:r>
    </w:p>
    <w:p>
      <w:pPr>
        <w:pStyle w:val="ListNumber"/>
        <w:widowControl/>
        <w:numPr>
          <w:ilvl w:val="0"/>
          <w:numId w:val="21"/>
        </w:numPr>
      </w:pPr>
      <w:r>
        <w:rPr>
          <w:rFonts w:ascii="Calibri" w:hAnsi="Calibri"/>
          <w:sz w:val="22"/>
        </w:rPr>
        <w:t>If every relationship and assessment becomes a Rote, recursive metadata may overwhelm cognition.</w:t>
      </w:r>
    </w:p>
    <w:p>
      <w:pPr>
        <w:pStyle w:val="ListNumber"/>
        <w:widowControl/>
        <w:numPr>
          <w:ilvl w:val="0"/>
          <w:numId w:val="21"/>
        </w:numPr>
      </w:pPr>
      <w:r>
        <w:rPr>
          <w:rFonts w:ascii="Calibri" w:hAnsi="Calibri"/>
          <w:sz w:val="22"/>
        </w:rPr>
        <w:t>If too few relationships and assessments are first-class, the system loses the provenance and conflict semantics the Rote was invented to preserve.</w:t>
      </w:r>
    </w:p>
    <w:p>
      <w:pPr>
        <w:pStyle w:val="Heading2"/>
        <w:widowControl/>
      </w:pPr>
      <w:r>
        <w:rPr>
          <w:rFonts w:ascii="Calibri" w:hAnsi="Calibri"/>
          <w:sz w:val="22"/>
        </w:rPr>
        <w:t>18.7 Recommended next conceptual design step</w:t>
      </w:r>
    </w:p>
    <w:p>
      <w:pPr>
        <w:widowControl/>
      </w:pPr>
      <w:r>
        <w:rPr>
          <w:rFonts w:ascii="Calibri" w:hAnsi="Calibri"/>
          <w:sz w:val="22"/>
        </w:rPr>
        <w:t xml:space="preserve">Conduct a focused </w:t>
      </w:r>
      <w:r>
        <w:rPr>
          <w:rFonts w:ascii="Calibri" w:hAnsi="Calibri"/>
          <w:b/>
          <w:sz w:val="22"/>
        </w:rPr>
        <w:t>Rote ontology and effect-semantics design session</w:t>
      </w:r>
      <w:r>
        <w:rPr>
          <w:rFonts w:ascii="Calibri" w:hAnsi="Calibri"/>
          <w:sz w:val="22"/>
        </w:rPr>
        <w:t xml:space="preserve"> before discussing schemas or APIs. That session should make operator decisions on the formal definition, immutability, relationship status, opaque cognition, normative cognition, and governance defaults. It should then produce:</w:t>
      </w:r>
    </w:p>
    <w:p>
      <w:pPr>
        <w:pStyle w:val="ListNumber"/>
        <w:widowControl/>
        <w:numPr>
          <w:ilvl w:val="0"/>
          <w:numId w:val="22"/>
        </w:numPr>
      </w:pPr>
      <w:r>
        <w:rPr>
          <w:rFonts w:ascii="Calibri" w:hAnsi="Calibri"/>
          <w:sz w:val="22"/>
        </w:rPr>
        <w:t>a small extensible taxonomy of cognitive kinds;</w:t>
      </w:r>
    </w:p>
    <w:p>
      <w:pPr>
        <w:pStyle w:val="ListNumber"/>
        <w:widowControl/>
        <w:numPr>
          <w:ilvl w:val="0"/>
          <w:numId w:val="22"/>
        </w:numPr>
      </w:pPr>
      <w:r>
        <w:rPr>
          <w:rFonts w:ascii="Calibri" w:hAnsi="Calibri"/>
          <w:sz w:val="22"/>
        </w:rPr>
        <w:t>a normative vocabulary of relationship types and their meanings;</w:t>
      </w:r>
    </w:p>
    <w:p>
      <w:pPr>
        <w:pStyle w:val="ListNumber"/>
        <w:widowControl/>
        <w:numPr>
          <w:ilvl w:val="0"/>
          <w:numId w:val="22"/>
        </w:numPr>
      </w:pPr>
      <w:r>
        <w:rPr>
          <w:rFonts w:ascii="Calibri" w:hAnsi="Calibri"/>
          <w:sz w:val="22"/>
        </w:rPr>
        <w:t>an integration-effect matrix showing allowed conceptual transitions by cognitive kind;</w:t>
      </w:r>
    </w:p>
    <w:p>
      <w:pPr>
        <w:pStyle w:val="ListNumber"/>
        <w:widowControl/>
        <w:numPr>
          <w:ilvl w:val="0"/>
          <w:numId w:val="22"/>
        </w:numPr>
      </w:pPr>
      <w:r>
        <w:rPr>
          <w:rFonts w:ascii="Calibri" w:hAnsi="Calibri"/>
          <w:sz w:val="22"/>
        </w:rPr>
        <w:t>a trust/applicability assessment model;</w:t>
      </w:r>
    </w:p>
    <w:p>
      <w:pPr>
        <w:pStyle w:val="ListNumber"/>
        <w:widowControl/>
        <w:numPr>
          <w:ilvl w:val="0"/>
          <w:numId w:val="22"/>
        </w:numPr>
      </w:pPr>
      <w:r>
        <w:rPr>
          <w:rFonts w:ascii="Calibri" w:hAnsi="Calibri"/>
          <w:sz w:val="22"/>
        </w:rPr>
        <w:t>a privacy threat model for advertisement, preparation, and re-sharing;</w:t>
      </w:r>
    </w:p>
    <w:p>
      <w:pPr>
        <w:pStyle w:val="ListNumber"/>
        <w:widowControl/>
        <w:numPr>
          <w:ilvl w:val="0"/>
          <w:numId w:val="22"/>
        </w:numPr>
      </w:pPr>
      <w:r>
        <w:rPr>
          <w:rFonts w:ascii="Calibri" w:hAnsi="Calibri"/>
          <w:sz w:val="22"/>
        </w:rPr>
        <w:t>three fully worked “golden Rotes” (fact, experience-derived procedure, executable capability) expressed without committing to a storage schema.</w:t>
      </w:r>
    </w:p>
    <w:p>
      <w:pPr>
        <w:widowControl/>
      </w:pPr>
      <w:r>
        <w:rPr>
          <w:rFonts w:ascii="Calibri" w:hAnsi="Calibri"/>
          <w:sz w:val="22"/>
        </w:rPr>
        <w:t>Only after those conceptual decisions should AncientOS investigate repository fit and implementation architecture. That later investigation should test this specification against implementation truth rather than retroactively treating current code as the definition of Rote.</w:t>
      </w:r>
    </w:p>
    <w:p>
      <w:pPr>
        <w:widowControl/>
      </w:pPr>
      <w:r>
        <w:rPr>
          <w:rFonts w:ascii="Calibri" w:hAnsi="Calibri"/>
          <w:b/>
          <w:sz w:val="22"/>
        </w:rPr>
        <w:t>End of Draft 1</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46E"/>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A646E"/>
        <w:sz w:val="17"/>
      </w:rPr>
      <w:t>ANCIENTOS  |  ROTE CONCEPTUAL SPECIFICATION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AncientOS Rote — Conceptual Specification, Draft 1</dc:title>
  <dc:subject>Product and architecture design for transferable cognition</dc:subject>
  <dc:creator>AncientOS architecture process</dc:creator>
  <cp:keywords/>
  <dc:description>generated by python-docx</dc:description>
  <cp:lastModifiedBy/>
  <cp:revision>1</cp:revision>
  <dcterms:created xsi:type="dcterms:W3CDTF">2013-12-23T23:15:00Z</dcterms:created>
  <dcterms:modified xsi:type="dcterms:W3CDTF">2013-12-23T23:15:00Z</dcterms:modified>
  <cp:category/>
</cp:coreProperties>
</file>